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F6E" w:rsidRPr="00DD5764" w:rsidRDefault="00BC2F6E" w:rsidP="00BC2F6E">
      <w:pPr>
        <w:pStyle w:val="Heading3"/>
        <w:spacing w:after="120"/>
        <w:jc w:val="center"/>
        <w:rPr>
          <w:rFonts w:ascii="AGOpus Mon" w:hAnsi="AGOpus Mon" w:cs="Arial"/>
          <w:b/>
          <w:szCs w:val="24"/>
          <w:lang w:val="mn-MN"/>
        </w:rPr>
      </w:pPr>
      <w:r w:rsidRPr="00DD5764">
        <w:rPr>
          <w:rFonts w:ascii="AGOpus Mon" w:hAnsi="AGOpus Mon" w:cs="Arial"/>
          <w:b/>
          <w:sz w:val="22"/>
          <w:szCs w:val="22"/>
          <w:lang w:val="mn-MN"/>
        </w:rPr>
        <w:t xml:space="preserve"> </w:t>
      </w:r>
      <w:r w:rsidR="009C5241" w:rsidRPr="009C5241">
        <w:rPr>
          <w:rFonts w:ascii="AGOpus Mon" w:hAnsi="AGOpus Mon" w:cs="Arial"/>
          <w:b/>
          <w:szCs w:val="24"/>
          <w:lang w:val="mn-MN"/>
        </w:rPr>
        <w:t>ОРОН НУТГИЙН АГААРЫН ЧАНАРЫН 2011 ОНЫ ТӨЛӨВ БАЙДАЛ</w:t>
      </w:r>
    </w:p>
    <w:p w:rsidR="000078A4" w:rsidRPr="00DD5764" w:rsidRDefault="009C5241" w:rsidP="0084477E">
      <w:pPr>
        <w:pStyle w:val="BodyText"/>
        <w:spacing w:line="276" w:lineRule="auto"/>
        <w:jc w:val="both"/>
        <w:rPr>
          <w:rFonts w:ascii="AGOpus Mon" w:hAnsi="AGOpus Mon" w:cs="Arial"/>
          <w:color w:val="000000"/>
          <w:sz w:val="22"/>
          <w:szCs w:val="22"/>
          <w:lang w:val="mn-MN"/>
        </w:rPr>
      </w:pPr>
      <w:r w:rsidRPr="009C5241">
        <w:rPr>
          <w:rFonts w:ascii="AGOpus Mon" w:hAnsi="AGOpus Mon" w:cs="Arial"/>
          <w:szCs w:val="24"/>
          <w:lang w:val="mn-MN"/>
        </w:rPr>
        <w:t xml:space="preserve">2011 онд орон нутагт агаарын чанарыг хянах 25 харуул ажиллаж хүхэрлэг хий, азотын давхар исэл, нүүрстөрөгчийн дутуу исэл, тоосонцорын хяналт шинжилгээ хийлээ. </w:t>
      </w:r>
      <w:r w:rsidR="00A65D45" w:rsidRPr="00DD5764">
        <w:rPr>
          <w:rFonts w:ascii="AGOpus Mon" w:hAnsi="AGOpus Mon" w:cs="Arial"/>
          <w:noProof/>
          <w:sz w:val="22"/>
          <w:szCs w:val="22"/>
        </w:rPr>
        <w:drawing>
          <wp:inline distT="0" distB="0" distL="0" distR="0">
            <wp:extent cx="5838825" cy="26765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84477E" w:rsidRPr="00DD5764" w:rsidRDefault="009C5241" w:rsidP="0084477E">
      <w:pPr>
        <w:pStyle w:val="BodyText"/>
        <w:rPr>
          <w:rFonts w:ascii="AGOpus Mon" w:hAnsi="AGOpus Mon" w:cs="Arial"/>
          <w:i/>
          <w:sz w:val="20"/>
          <w:szCs w:val="22"/>
          <w:lang w:val="mn-MN"/>
        </w:rPr>
      </w:pPr>
      <w:r w:rsidRPr="009C5241">
        <w:rPr>
          <w:rFonts w:ascii="AGOpus Mon" w:hAnsi="AGOpus Mon" w:cs="Arial"/>
          <w:color w:val="000000"/>
          <w:szCs w:val="24"/>
          <w:lang w:val="mn-MN"/>
        </w:rPr>
        <w:t xml:space="preserve">Орон нутгийн харуулуудын 2011 оны шинжилгээний дүнгээс үзэхэд хүхэрлэг хийн жилийн дундаж агууламж агаарын чанарын стандарт (жилийн дундаж агууламж, 10мкг/м3)-аас Баянхонгор 3.3 дахин, Дархан 1.8 дахин, Арвайхээр 1.7, Сүхбаатар 1.3 дахин, Шарын гол 1.3 дахин, Мөрөн 1.2 дахин давсан байна. Өмнөх оноос хүхэрлэг хийн жилийн дундаж агууламж Арвайхээр 67.7%, Баянхонгор 32.4%, Дархан 3.4%-иар тус тус ихэссэн бол Арвайхээр, Мөрөн, Шарын гол хотуудад хүхэрлэг хийн агууламж стандартаас давсан бохирдол илэрч эхэлсэн байна.  </w:t>
      </w:r>
      <w:r w:rsidR="0084477E" w:rsidRPr="00DD5764">
        <w:rPr>
          <w:rFonts w:ascii="AGOpus Mon" w:hAnsi="AGOpus Mon" w:cs="Arial"/>
          <w:i/>
          <w:noProof/>
          <w:sz w:val="20"/>
          <w:szCs w:val="22"/>
        </w:rPr>
        <w:drawing>
          <wp:inline distT="0" distB="0" distL="0" distR="0">
            <wp:extent cx="6000750" cy="2714625"/>
            <wp:effectExtent l="0" t="0" r="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0078A4" w:rsidRPr="00DD5764" w:rsidRDefault="009C5241" w:rsidP="000078A4">
      <w:pPr>
        <w:pStyle w:val="BodyText"/>
        <w:spacing w:before="120" w:line="276" w:lineRule="auto"/>
        <w:jc w:val="both"/>
        <w:rPr>
          <w:rFonts w:ascii="AGOpus Mon" w:hAnsi="AGOpus Mon" w:cs="Arial"/>
          <w:color w:val="000000"/>
          <w:sz w:val="22"/>
          <w:szCs w:val="22"/>
          <w:lang w:val="mn-MN"/>
        </w:rPr>
      </w:pPr>
      <w:r w:rsidRPr="009C5241">
        <w:rPr>
          <w:rFonts w:ascii="AGOpus Mon" w:hAnsi="AGOpus Mon" w:cs="Arial"/>
          <w:color w:val="000000"/>
          <w:szCs w:val="24"/>
          <w:lang w:val="mn-MN"/>
        </w:rPr>
        <w:t xml:space="preserve">2011 онд азотын давхар ислийн жилийн дундаж агууламж агаарын чанарын стандарт (жилийн дундаж агууламж, 30мкг/м3)-аас Баянхонгор 1.7 дахин, Эрдэнэт 1.4, Дархан 1.2, Мөрөн 1.2 дахин, Сайншанд 1.1, Багануур 1.0 дахин давсан бохирдолтой байна.  Өмнөх онтой харьцуулахад Баянхонгор 43.3%, Мөрөн 8.5%, 0.6%-иар тус тус ихэссэн бол Дархан </w:t>
      </w:r>
      <w:r w:rsidRPr="009C5241">
        <w:rPr>
          <w:rFonts w:ascii="AGOpus Mon" w:hAnsi="AGOpus Mon" w:cs="Arial"/>
          <w:color w:val="000000"/>
          <w:szCs w:val="24"/>
          <w:lang w:val="mn-MN"/>
        </w:rPr>
        <w:lastRenderedPageBreak/>
        <w:t xml:space="preserve">9%, Эрдэнэт 4.9%-иар багассан байна. </w:t>
      </w:r>
      <w:r w:rsidR="000078A4" w:rsidRPr="00DD5764">
        <w:rPr>
          <w:rFonts w:ascii="AGOpus Mon" w:hAnsi="AGOpus Mon" w:cs="Arial"/>
          <w:noProof/>
          <w:color w:val="000000"/>
          <w:sz w:val="22"/>
          <w:szCs w:val="22"/>
        </w:rPr>
        <w:drawing>
          <wp:inline distT="0" distB="0" distL="0" distR="0">
            <wp:extent cx="5943600" cy="2390775"/>
            <wp:effectExtent l="1905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078A4" w:rsidRPr="00DD5764" w:rsidRDefault="009C5241" w:rsidP="000078A4">
      <w:pPr>
        <w:pStyle w:val="BodyText"/>
        <w:spacing w:before="120" w:line="276" w:lineRule="auto"/>
        <w:jc w:val="both"/>
        <w:rPr>
          <w:rFonts w:ascii="AGOpus Mon" w:hAnsi="AGOpus Mon" w:cs="Arial"/>
          <w:color w:val="000000"/>
          <w:sz w:val="22"/>
          <w:szCs w:val="22"/>
          <w:lang w:val="mn-MN"/>
        </w:rPr>
      </w:pPr>
      <w:r w:rsidRPr="009C5241">
        <w:rPr>
          <w:rFonts w:ascii="AGOpus Mon" w:hAnsi="AGOpus Mon" w:cs="Arial"/>
          <w:bCs/>
          <w:color w:val="000000"/>
          <w:szCs w:val="24"/>
          <w:lang w:val="mn-MN"/>
        </w:rPr>
        <w:t>2010 онд агаар дахь нүүрстөрөгчийн дутуу ислийг 8 лаборатори (Баянхонгор, Завхан, Дорнодоос бусад)-д 30 минутын дундаж агууламжаар тодорхойлсон ба жилийн дундаж агууламж АЧС (30 минутын дундаж, 60000мкг/м3)-аас давсан бохирдол илрээгүй хэдий ч зарим хотуудад нүүрстөрөгчийн дутуу ислийн жилийн дундаж агууламж өмнөх жилээс 1.05-3.39 дахин ихэссэн байна.</w:t>
      </w:r>
      <w:r w:rsidR="000078A4" w:rsidRPr="00DD5764">
        <w:rPr>
          <w:rFonts w:ascii="AGOpus Mon" w:hAnsi="AGOpus Mon" w:cs="Arial"/>
          <w:noProof/>
          <w:color w:val="000000"/>
          <w:sz w:val="22"/>
          <w:szCs w:val="22"/>
        </w:rPr>
        <w:drawing>
          <wp:inline distT="0" distB="0" distL="0" distR="0">
            <wp:extent cx="5943600" cy="2438400"/>
            <wp:effectExtent l="0" t="0" r="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C5241" w:rsidRDefault="009C5241" w:rsidP="000078A4">
      <w:pPr>
        <w:pStyle w:val="BodyText"/>
        <w:spacing w:before="120" w:line="276" w:lineRule="auto"/>
        <w:ind w:firstLine="720"/>
        <w:jc w:val="both"/>
        <w:rPr>
          <w:rFonts w:ascii="AGOpus Mon" w:hAnsi="AGOpus Mon" w:cs="Arial"/>
          <w:bCs/>
          <w:color w:val="000000"/>
          <w:szCs w:val="24"/>
          <w:lang w:val="mn-MN"/>
        </w:rPr>
      </w:pPr>
      <w:r w:rsidRPr="009C5241">
        <w:rPr>
          <w:rFonts w:ascii="AGOpus Mon" w:hAnsi="AGOpus Mon" w:cs="Arial"/>
          <w:bCs/>
          <w:color w:val="000000"/>
          <w:szCs w:val="24"/>
          <w:lang w:val="mn-MN"/>
        </w:rPr>
        <w:t>2010 онд том ширхэглэгт тоосонцор (PM10)-ын жилийн дундаж агууламж АЧС (жилийн дундаж агууламж, 25мкг/м3)-аас 1.5-3.4 дахин давсан бохирдол Улиастай харуулаас бусад харуулд ажиглагдаж өмнөх оноос 4-76 мкг/м3-ээр ихэссэн байна. Хамгийн их агууламж Ховд хотод АЧС (24 цагийн дундаж, 100мкг/м3)-аас 17 дахин давсан байлаа. Нарийн ширхэглэгт тоосонцор (PM2.5)-ыг Эрдэнэт, Арвайхээр, Цэцэрлэг хотуудад жингийн аргаар тодорхойлсон ба жилийн дундаж агууламж АЧС (жилийн дундаж, 0.025мг/м3)-аас 2-3.8 дахин их бохирджээ. Хамгийн их агууламж Цэцэрлэг хотод АЧС (24 цагийн дундаж, 50мкг/м</w:t>
      </w:r>
      <w:r>
        <w:rPr>
          <w:rFonts w:ascii="AGOpus Mon" w:hAnsi="AGOpus Mon" w:cs="Arial"/>
          <w:bCs/>
          <w:color w:val="000000"/>
          <w:szCs w:val="24"/>
          <w:lang w:val="mn-MN"/>
        </w:rPr>
        <w:t>3)-аас 15.4 дахин давсан байна.</w:t>
      </w:r>
    </w:p>
    <w:p w:rsidR="009C5241" w:rsidRDefault="009C5241" w:rsidP="000078A4">
      <w:pPr>
        <w:pStyle w:val="BodyText"/>
        <w:spacing w:before="120" w:line="276" w:lineRule="auto"/>
        <w:ind w:firstLine="720"/>
        <w:jc w:val="both"/>
        <w:rPr>
          <w:rFonts w:ascii="AGOpus Mon" w:hAnsi="AGOpus Mon" w:cs="Arial"/>
          <w:bCs/>
          <w:color w:val="000000"/>
          <w:szCs w:val="24"/>
          <w:lang w:val="mn-MN"/>
        </w:rPr>
      </w:pPr>
      <w:bookmarkStart w:id="0" w:name="_GoBack"/>
      <w:bookmarkEnd w:id="0"/>
    </w:p>
    <w:p w:rsidR="00D121FD" w:rsidRPr="00DD5764" w:rsidRDefault="009C5241">
      <w:pPr>
        <w:rPr>
          <w:rFonts w:ascii="AGOpus Mon" w:hAnsi="AGOpus Mon"/>
        </w:rPr>
      </w:pPr>
      <w:r w:rsidRPr="009C5241">
        <w:rPr>
          <w:rFonts w:ascii="AGOpus Mon" w:eastAsia="Times New Roman" w:hAnsi="AGOpus Mon" w:cs="Arial"/>
          <w:color w:val="000000"/>
          <w:sz w:val="24"/>
          <w:szCs w:val="24"/>
          <w:lang w:val="mn-MN"/>
        </w:rPr>
        <w:lastRenderedPageBreak/>
        <w:t>Орон нутагт хийгддэг агаарын чанарын хяналт-шинжилгээний дүнгээр Дархан, Мөрөн, Эрдэнэт, Баянхонгор, Арвайхээр гэсэн томоохон хотуудын агаар дахь түгээмэл бохирдуулах бодисын агууламж бусад хотуудтай харьцуулахад хамгийн өндөр бохирдолтойд тооцогдох ба сүүлийн жилүүдэд Арвайхээр, Баянхонгор, Сүхбаатар, Сайншанд, Мөрөн хотуудын бохирдолын түвшин нилээд ихсэж АЧС-аас давсан тохиолдолууд ажиглагдаж байна.</w:t>
      </w:r>
      <w:r w:rsidR="00C64FEF" w:rsidRPr="00DD5764">
        <w:rPr>
          <w:rFonts w:ascii="AGOpus Mon" w:hAnsi="AGOpus Mon"/>
          <w:noProof/>
        </w:rPr>
        <w:drawing>
          <wp:inline distT="0" distB="0" distL="0" distR="0">
            <wp:extent cx="5686425" cy="1895475"/>
            <wp:effectExtent l="0" t="0" r="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05513" w:rsidRPr="00DD5764" w:rsidRDefault="00505513">
      <w:pPr>
        <w:rPr>
          <w:rFonts w:ascii="AGOpus Mon" w:hAnsi="AGOpus Mon"/>
        </w:rPr>
      </w:pPr>
      <w:r w:rsidRPr="00DD5764">
        <w:rPr>
          <w:rFonts w:ascii="AGOpus Mon" w:hAnsi="AGOpus Mon"/>
          <w:noProof/>
        </w:rPr>
        <w:drawing>
          <wp:inline distT="0" distB="0" distL="0" distR="0">
            <wp:extent cx="5514975" cy="1809750"/>
            <wp:effectExtent l="0" t="0" r="0" b="0"/>
            <wp:docPr id="1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E6B10" w:rsidRPr="00DD5764" w:rsidRDefault="00505513">
      <w:pPr>
        <w:rPr>
          <w:rFonts w:ascii="AGOpus Mon" w:hAnsi="AGOpus Mon"/>
          <w:lang w:val="mn-MN"/>
        </w:rPr>
      </w:pPr>
      <w:r w:rsidRPr="00DD5764">
        <w:rPr>
          <w:rFonts w:ascii="AGOpus Mon" w:hAnsi="AGOpus Mon"/>
          <w:noProof/>
        </w:rPr>
        <w:drawing>
          <wp:inline distT="0" distB="0" distL="0" distR="0">
            <wp:extent cx="5514975" cy="1743075"/>
            <wp:effectExtent l="0" t="0" r="0" b="0"/>
            <wp:docPr id="1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sectPr w:rsidR="002E6B10" w:rsidRPr="00DD5764" w:rsidSect="007933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Mon">
    <w:altName w:val="Arial"/>
    <w:charset w:val="00"/>
    <w:family w:val="swiss"/>
    <w:pitch w:val="variable"/>
    <w:sig w:usb0="0000020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AGOpus Mon">
    <w:altName w:val="Times New Roman"/>
    <w:charset w:val="00"/>
    <w:family w:val="auto"/>
    <w:pitch w:val="variable"/>
    <w:sig w:usb0="00000001" w:usb1="0000000A" w:usb2="00000000" w:usb3="00000000" w:csb0="00000005"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2"/>
  </w:compat>
  <w:rsids>
    <w:rsidRoot w:val="00BC2F6E"/>
    <w:rsid w:val="000078A4"/>
    <w:rsid w:val="0001422B"/>
    <w:rsid w:val="000D7569"/>
    <w:rsid w:val="000F4358"/>
    <w:rsid w:val="001631B9"/>
    <w:rsid w:val="002D1715"/>
    <w:rsid w:val="002E6B10"/>
    <w:rsid w:val="00300305"/>
    <w:rsid w:val="00392D22"/>
    <w:rsid w:val="00404E8B"/>
    <w:rsid w:val="00505513"/>
    <w:rsid w:val="006F4C23"/>
    <w:rsid w:val="007877DF"/>
    <w:rsid w:val="0079331E"/>
    <w:rsid w:val="00824B5A"/>
    <w:rsid w:val="008348AB"/>
    <w:rsid w:val="0084477E"/>
    <w:rsid w:val="00905000"/>
    <w:rsid w:val="009C5241"/>
    <w:rsid w:val="00A65D45"/>
    <w:rsid w:val="00A725ED"/>
    <w:rsid w:val="00B12614"/>
    <w:rsid w:val="00BC2F6E"/>
    <w:rsid w:val="00C06876"/>
    <w:rsid w:val="00C11712"/>
    <w:rsid w:val="00C2085E"/>
    <w:rsid w:val="00C64FEF"/>
    <w:rsid w:val="00CA6E92"/>
    <w:rsid w:val="00CB47EF"/>
    <w:rsid w:val="00CF475E"/>
    <w:rsid w:val="00D05F7C"/>
    <w:rsid w:val="00D121FD"/>
    <w:rsid w:val="00DA14CD"/>
    <w:rsid w:val="00DD5764"/>
    <w:rsid w:val="00F42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AD5E04-B750-4EAC-9EB8-AF51E16E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F6E"/>
    <w:rPr>
      <w:rFonts w:eastAsiaTheme="minorEastAsia"/>
    </w:rPr>
  </w:style>
  <w:style w:type="paragraph" w:styleId="Heading3">
    <w:name w:val="heading 3"/>
    <w:basedOn w:val="Normal"/>
    <w:next w:val="Normal"/>
    <w:link w:val="Heading3Char"/>
    <w:qFormat/>
    <w:rsid w:val="00BC2F6E"/>
    <w:pPr>
      <w:keepNext/>
      <w:spacing w:after="0" w:line="240" w:lineRule="auto"/>
      <w:outlineLvl w:val="2"/>
    </w:pPr>
    <w:rPr>
      <w:rFonts w:ascii="Arial Mon" w:eastAsia="Times New Roman" w:hAnsi="Arial Mo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C2F6E"/>
    <w:rPr>
      <w:rFonts w:ascii="Arial Mon" w:eastAsia="Times New Roman" w:hAnsi="Arial Mon" w:cs="Times New Roman"/>
      <w:sz w:val="24"/>
      <w:szCs w:val="20"/>
    </w:rPr>
  </w:style>
  <w:style w:type="paragraph" w:styleId="BodyText">
    <w:name w:val="Body Text"/>
    <w:basedOn w:val="Normal"/>
    <w:link w:val="BodyTextChar"/>
    <w:rsid w:val="00BC2F6E"/>
    <w:pPr>
      <w:spacing w:after="0" w:line="240" w:lineRule="auto"/>
    </w:pPr>
    <w:rPr>
      <w:rFonts w:ascii="Arial Mon" w:eastAsia="Times New Roman" w:hAnsi="Arial Mon" w:cs="Times New Roman"/>
      <w:sz w:val="24"/>
      <w:szCs w:val="20"/>
    </w:rPr>
  </w:style>
  <w:style w:type="character" w:customStyle="1" w:styleId="BodyTextChar">
    <w:name w:val="Body Text Char"/>
    <w:basedOn w:val="DefaultParagraphFont"/>
    <w:link w:val="BodyText"/>
    <w:rsid w:val="00BC2F6E"/>
    <w:rPr>
      <w:rFonts w:ascii="Arial Mon" w:eastAsia="Times New Roman" w:hAnsi="Arial Mon" w:cs="Times New Roman"/>
      <w:sz w:val="24"/>
      <w:szCs w:val="20"/>
    </w:rPr>
  </w:style>
  <w:style w:type="paragraph" w:styleId="BodyTextIndent">
    <w:name w:val="Body Text Indent"/>
    <w:basedOn w:val="Normal"/>
    <w:link w:val="BodyTextIndentChar"/>
    <w:semiHidden/>
    <w:unhideWhenUsed/>
    <w:rsid w:val="00BC2F6E"/>
    <w:pPr>
      <w:spacing w:after="120"/>
      <w:ind w:left="360"/>
    </w:pPr>
  </w:style>
  <w:style w:type="character" w:customStyle="1" w:styleId="BodyTextIndentChar">
    <w:name w:val="Body Text Indent Char"/>
    <w:basedOn w:val="DefaultParagraphFont"/>
    <w:link w:val="BodyTextIndent"/>
    <w:semiHidden/>
    <w:rsid w:val="00BC2F6E"/>
    <w:rPr>
      <w:rFonts w:eastAsiaTheme="minorEastAsia"/>
    </w:rPr>
  </w:style>
  <w:style w:type="paragraph" w:styleId="BalloonText">
    <w:name w:val="Balloon Text"/>
    <w:basedOn w:val="Normal"/>
    <w:link w:val="BalloonTextChar"/>
    <w:uiPriority w:val="99"/>
    <w:semiHidden/>
    <w:unhideWhenUsed/>
    <w:rsid w:val="00BC2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F6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22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3" Type="http://schemas.openxmlformats.org/officeDocument/2006/relationships/webSettings" Target="webSettings.xml"/><Relationship Id="rId7" Type="http://schemas.openxmlformats.org/officeDocument/2006/relationships/chart" Target="charts/chart4.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fontTable" Target="fontTable.xml"/><Relationship Id="rId5" Type="http://schemas.openxmlformats.org/officeDocument/2006/relationships/chart" Target="charts/chart2.xml"/><Relationship Id="rId10" Type="http://schemas.openxmlformats.org/officeDocument/2006/relationships/chart" Target="charts/chart7.xml"/><Relationship Id="rId4" Type="http://schemas.openxmlformats.org/officeDocument/2006/relationships/chart" Target="charts/chart1.xml"/><Relationship Id="rId9"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D:\2012%201%20sar\ORON%20NUTA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012%201%20sar\ORON%20NUTA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dawaa%20egch%20dewter\Data%20201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Administrator\My%20Documents\Downloads\2010%20on%20data%20negtgeh.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Administrator\My%20Documents\Downloads\ORON%20NUTAG.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Administrator\My%20Documents\Downloads\ORON%20NUTA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Administrator\My%20Documents\Downloads\ORON%20NUTA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mn-MN" sz="1100" b="0"/>
            </a:pPr>
            <a:r>
              <a:rPr lang="mn-MN" sz="1100" b="0"/>
              <a:t>Хүхэрлэг хийн жилийн дундаж агууламж, мкг/м</a:t>
            </a:r>
            <a:r>
              <a:rPr lang="mn-MN" sz="1100" b="0" baseline="30000"/>
              <a:t>3</a:t>
            </a:r>
            <a:endParaRPr lang="en-US" sz="1100" b="0" baseline="30000"/>
          </a:p>
        </c:rich>
      </c:tx>
      <c:overlay val="0"/>
    </c:title>
    <c:autoTitleDeleted val="0"/>
    <c:plotArea>
      <c:layout>
        <c:manualLayout>
          <c:layoutTarget val="inner"/>
          <c:xMode val="edge"/>
          <c:yMode val="edge"/>
          <c:x val="0.13544947143074013"/>
          <c:y val="0.12579670538866966"/>
          <c:w val="0.8512556027992626"/>
          <c:h val="0.50966937693383763"/>
        </c:manualLayout>
      </c:layout>
      <c:barChart>
        <c:barDir val="col"/>
        <c:grouping val="clustered"/>
        <c:varyColors val="0"/>
        <c:ser>
          <c:idx val="0"/>
          <c:order val="0"/>
          <c:tx>
            <c:strRef>
              <c:f>Sheet2!$G$19</c:f>
              <c:strCache>
                <c:ptCount val="1"/>
                <c:pt idx="0">
                  <c:v>2010</c:v>
                </c:pt>
              </c:strCache>
            </c:strRef>
          </c:tx>
          <c:invertIfNegative val="0"/>
          <c:cat>
            <c:strRef>
              <c:f>Sheet2!$F$20:$F$44</c:f>
              <c:strCache>
                <c:ptCount val="25"/>
                <c:pt idx="0">
                  <c:v>Сэлэнгэ</c:v>
                </c:pt>
                <c:pt idx="1">
                  <c:v>Мөрөн 1</c:v>
                </c:pt>
                <c:pt idx="2">
                  <c:v>Мөрөн 2</c:v>
                </c:pt>
                <c:pt idx="3">
                  <c:v>Эрдэнэт 1</c:v>
                </c:pt>
                <c:pt idx="4">
                  <c:v>Эрдэнэт 2</c:v>
                </c:pt>
                <c:pt idx="5">
                  <c:v>Дархан 1</c:v>
                </c:pt>
                <c:pt idx="6">
                  <c:v>Дорнод</c:v>
                </c:pt>
                <c:pt idx="7">
                  <c:v>Увс </c:v>
                </c:pt>
                <c:pt idx="8">
                  <c:v>Цэцэрлэг</c:v>
                </c:pt>
                <c:pt idx="9">
                  <c:v>Ховд</c:v>
                </c:pt>
                <c:pt idx="10">
                  <c:v>Арвайхээр</c:v>
                </c:pt>
                <c:pt idx="11">
                  <c:v>Мандалговь</c:v>
                </c:pt>
                <c:pt idx="12">
                  <c:v>Завхан</c:v>
                </c:pt>
                <c:pt idx="13">
                  <c:v>Багануур </c:v>
                </c:pt>
                <c:pt idx="14">
                  <c:v>Бор-Өндөр</c:v>
                </c:pt>
                <c:pt idx="15">
                  <c:v>Булган</c:v>
                </c:pt>
                <c:pt idx="16">
                  <c:v>Дорноговь</c:v>
                </c:pt>
                <c:pt idx="17">
                  <c:v>Баян-Өлгий </c:v>
                </c:pt>
                <c:pt idx="18">
                  <c:v>Төв</c:v>
                </c:pt>
                <c:pt idx="19">
                  <c:v>Шарын гол</c:v>
                </c:pt>
                <c:pt idx="20">
                  <c:v>Баянхонгор</c:v>
                </c:pt>
                <c:pt idx="21">
                  <c:v>Говь-Алтай</c:v>
                </c:pt>
                <c:pt idx="22">
                  <c:v>Сүхбаатар</c:v>
                </c:pt>
                <c:pt idx="23">
                  <c:v>Өмнөговь</c:v>
                </c:pt>
                <c:pt idx="24">
                  <c:v>Өндөрхаан</c:v>
                </c:pt>
              </c:strCache>
            </c:strRef>
          </c:cat>
          <c:val>
            <c:numRef>
              <c:f>Sheet2!$G$20:$G$44</c:f>
              <c:numCache>
                <c:formatCode>0.0</c:formatCode>
                <c:ptCount val="25"/>
                <c:pt idx="0">
                  <c:v>3.25</c:v>
                </c:pt>
                <c:pt idx="1">
                  <c:v>6.5</c:v>
                </c:pt>
                <c:pt idx="2">
                  <c:v>6.2</c:v>
                </c:pt>
                <c:pt idx="3">
                  <c:v>3.416666666666659</c:v>
                </c:pt>
                <c:pt idx="4">
                  <c:v>4</c:v>
                </c:pt>
                <c:pt idx="5">
                  <c:v>17.75</c:v>
                </c:pt>
                <c:pt idx="6">
                  <c:v>5.4166666666666714</c:v>
                </c:pt>
                <c:pt idx="7">
                  <c:v>4.3636363636363615</c:v>
                </c:pt>
                <c:pt idx="8">
                  <c:v>2.6666666666666665</c:v>
                </c:pt>
                <c:pt idx="9">
                  <c:v>3.8333333333333335</c:v>
                </c:pt>
                <c:pt idx="10">
                  <c:v>10.25</c:v>
                </c:pt>
                <c:pt idx="11">
                  <c:v>4.166666666666667</c:v>
                </c:pt>
                <c:pt idx="12">
                  <c:v>2.6666666666666665</c:v>
                </c:pt>
                <c:pt idx="13">
                  <c:v>4</c:v>
                </c:pt>
                <c:pt idx="14">
                  <c:v>2.75</c:v>
                </c:pt>
                <c:pt idx="15">
                  <c:v>5.9166666666666714</c:v>
                </c:pt>
                <c:pt idx="16">
                  <c:v>4.833333333333349</c:v>
                </c:pt>
                <c:pt idx="17">
                  <c:v>4.5</c:v>
                </c:pt>
                <c:pt idx="18">
                  <c:v>2.8333333333333335</c:v>
                </c:pt>
                <c:pt idx="19">
                  <c:v>9.5833333333333357</c:v>
                </c:pt>
                <c:pt idx="20">
                  <c:v>25</c:v>
                </c:pt>
                <c:pt idx="21">
                  <c:v>5.5454545454545459</c:v>
                </c:pt>
                <c:pt idx="22">
                  <c:v>13.916666666666696</c:v>
                </c:pt>
                <c:pt idx="23">
                  <c:v>8.3333333333333357</c:v>
                </c:pt>
                <c:pt idx="24">
                  <c:v>3.3</c:v>
                </c:pt>
              </c:numCache>
            </c:numRef>
          </c:val>
        </c:ser>
        <c:ser>
          <c:idx val="1"/>
          <c:order val="1"/>
          <c:tx>
            <c:strRef>
              <c:f>Sheet2!$H$19</c:f>
              <c:strCache>
                <c:ptCount val="1"/>
                <c:pt idx="0">
                  <c:v>2011</c:v>
                </c:pt>
              </c:strCache>
            </c:strRef>
          </c:tx>
          <c:invertIfNegative val="0"/>
          <c:cat>
            <c:strRef>
              <c:f>Sheet2!$F$20:$F$44</c:f>
              <c:strCache>
                <c:ptCount val="25"/>
                <c:pt idx="0">
                  <c:v>Сэлэнгэ</c:v>
                </c:pt>
                <c:pt idx="1">
                  <c:v>Мөрөн 1</c:v>
                </c:pt>
                <c:pt idx="2">
                  <c:v>Мөрөн 2</c:v>
                </c:pt>
                <c:pt idx="3">
                  <c:v>Эрдэнэт 1</c:v>
                </c:pt>
                <c:pt idx="4">
                  <c:v>Эрдэнэт 2</c:v>
                </c:pt>
                <c:pt idx="5">
                  <c:v>Дархан 1</c:v>
                </c:pt>
                <c:pt idx="6">
                  <c:v>Дорнод</c:v>
                </c:pt>
                <c:pt idx="7">
                  <c:v>Увс </c:v>
                </c:pt>
                <c:pt idx="8">
                  <c:v>Цэцэрлэг</c:v>
                </c:pt>
                <c:pt idx="9">
                  <c:v>Ховд</c:v>
                </c:pt>
                <c:pt idx="10">
                  <c:v>Арвайхээр</c:v>
                </c:pt>
                <c:pt idx="11">
                  <c:v>Мандалговь</c:v>
                </c:pt>
                <c:pt idx="12">
                  <c:v>Завхан</c:v>
                </c:pt>
                <c:pt idx="13">
                  <c:v>Багануур </c:v>
                </c:pt>
                <c:pt idx="14">
                  <c:v>Бор-Өндөр</c:v>
                </c:pt>
                <c:pt idx="15">
                  <c:v>Булган</c:v>
                </c:pt>
                <c:pt idx="16">
                  <c:v>Дорноговь</c:v>
                </c:pt>
                <c:pt idx="17">
                  <c:v>Баян-Өлгий </c:v>
                </c:pt>
                <c:pt idx="18">
                  <c:v>Төв</c:v>
                </c:pt>
                <c:pt idx="19">
                  <c:v>Шарын гол</c:v>
                </c:pt>
                <c:pt idx="20">
                  <c:v>Баянхонгор</c:v>
                </c:pt>
                <c:pt idx="21">
                  <c:v>Говь-Алтай</c:v>
                </c:pt>
                <c:pt idx="22">
                  <c:v>Сүхбаатар</c:v>
                </c:pt>
                <c:pt idx="23">
                  <c:v>Өмнөговь</c:v>
                </c:pt>
                <c:pt idx="24">
                  <c:v>Өндөрхаан</c:v>
                </c:pt>
              </c:strCache>
            </c:strRef>
          </c:cat>
          <c:val>
            <c:numRef>
              <c:f>Sheet2!$H$20:$H$44</c:f>
              <c:numCache>
                <c:formatCode>0.0</c:formatCode>
                <c:ptCount val="25"/>
                <c:pt idx="0">
                  <c:v>4.25</c:v>
                </c:pt>
                <c:pt idx="1">
                  <c:v>9.8333333333333357</c:v>
                </c:pt>
                <c:pt idx="2">
                  <c:v>11.54545454545455</c:v>
                </c:pt>
                <c:pt idx="3">
                  <c:v>3.916666666666659</c:v>
                </c:pt>
                <c:pt idx="4">
                  <c:v>4.333333333333349</c:v>
                </c:pt>
                <c:pt idx="5">
                  <c:v>18.416666666666668</c:v>
                </c:pt>
                <c:pt idx="6">
                  <c:v>5.833333333333349</c:v>
                </c:pt>
                <c:pt idx="7">
                  <c:v>2.5454545454545454</c:v>
                </c:pt>
                <c:pt idx="8">
                  <c:v>4.333333333333349</c:v>
                </c:pt>
                <c:pt idx="9">
                  <c:v>4.25</c:v>
                </c:pt>
                <c:pt idx="10">
                  <c:v>17.333333333333233</c:v>
                </c:pt>
                <c:pt idx="11">
                  <c:v>7.4444444444444464</c:v>
                </c:pt>
                <c:pt idx="12">
                  <c:v>2.416666666666659</c:v>
                </c:pt>
                <c:pt idx="13">
                  <c:v>5.2727272727272725</c:v>
                </c:pt>
                <c:pt idx="14">
                  <c:v>2.0909090909090908</c:v>
                </c:pt>
                <c:pt idx="15">
                  <c:v>9.5833333333333357</c:v>
                </c:pt>
                <c:pt idx="16">
                  <c:v>4.6363636363636536</c:v>
                </c:pt>
                <c:pt idx="17">
                  <c:v>6.666666666666667</c:v>
                </c:pt>
                <c:pt idx="18">
                  <c:v>2.6363636363636327</c:v>
                </c:pt>
                <c:pt idx="19">
                  <c:v>12.6</c:v>
                </c:pt>
                <c:pt idx="20">
                  <c:v>33.1</c:v>
                </c:pt>
                <c:pt idx="21">
                  <c:v>4.1818181818181834</c:v>
                </c:pt>
                <c:pt idx="22">
                  <c:v>13</c:v>
                </c:pt>
                <c:pt idx="23">
                  <c:v>7.833333333333349</c:v>
                </c:pt>
                <c:pt idx="24">
                  <c:v>3.3636363636363642</c:v>
                </c:pt>
              </c:numCache>
            </c:numRef>
          </c:val>
        </c:ser>
        <c:dLbls>
          <c:showLegendKey val="0"/>
          <c:showVal val="0"/>
          <c:showCatName val="0"/>
          <c:showSerName val="0"/>
          <c:showPercent val="0"/>
          <c:showBubbleSize val="0"/>
        </c:dLbls>
        <c:gapWidth val="75"/>
        <c:overlap val="-25"/>
        <c:axId val="-1024719968"/>
        <c:axId val="-1024726496"/>
      </c:barChart>
      <c:lineChart>
        <c:grouping val="standard"/>
        <c:varyColors val="0"/>
        <c:ser>
          <c:idx val="2"/>
          <c:order val="2"/>
          <c:tx>
            <c:strRef>
              <c:f>Sheet2!$I$19</c:f>
              <c:strCache>
                <c:ptCount val="1"/>
                <c:pt idx="0">
                  <c:v>Хүлцэх агууламж</c:v>
                </c:pt>
              </c:strCache>
            </c:strRef>
          </c:tx>
          <c:spPr>
            <a:ln w="19050">
              <a:solidFill>
                <a:srgbClr val="FF0000"/>
              </a:solidFill>
            </a:ln>
          </c:spPr>
          <c:marker>
            <c:symbol val="none"/>
          </c:marker>
          <c:cat>
            <c:strRef>
              <c:f>Sheet2!$F$20:$F$44</c:f>
              <c:strCache>
                <c:ptCount val="25"/>
                <c:pt idx="0">
                  <c:v>Сэлэнгэ</c:v>
                </c:pt>
                <c:pt idx="1">
                  <c:v>Мөрөн 1</c:v>
                </c:pt>
                <c:pt idx="2">
                  <c:v>Мөрөн 2</c:v>
                </c:pt>
                <c:pt idx="3">
                  <c:v>Эрдэнэт 1</c:v>
                </c:pt>
                <c:pt idx="4">
                  <c:v>Эрдэнэт 2</c:v>
                </c:pt>
                <c:pt idx="5">
                  <c:v>Дархан 1</c:v>
                </c:pt>
                <c:pt idx="6">
                  <c:v>Дорнод</c:v>
                </c:pt>
                <c:pt idx="7">
                  <c:v>Увс </c:v>
                </c:pt>
                <c:pt idx="8">
                  <c:v>Цэцэрлэг</c:v>
                </c:pt>
                <c:pt idx="9">
                  <c:v>Ховд</c:v>
                </c:pt>
                <c:pt idx="10">
                  <c:v>Арвайхээр</c:v>
                </c:pt>
                <c:pt idx="11">
                  <c:v>Мандалговь</c:v>
                </c:pt>
                <c:pt idx="12">
                  <c:v>Завхан</c:v>
                </c:pt>
                <c:pt idx="13">
                  <c:v>Багануур </c:v>
                </c:pt>
                <c:pt idx="14">
                  <c:v>Бор-Өндөр</c:v>
                </c:pt>
                <c:pt idx="15">
                  <c:v>Булган</c:v>
                </c:pt>
                <c:pt idx="16">
                  <c:v>Дорноговь</c:v>
                </c:pt>
                <c:pt idx="17">
                  <c:v>Баян-Өлгий </c:v>
                </c:pt>
                <c:pt idx="18">
                  <c:v>Төв</c:v>
                </c:pt>
                <c:pt idx="19">
                  <c:v>Шарын гол</c:v>
                </c:pt>
                <c:pt idx="20">
                  <c:v>Баянхонгор</c:v>
                </c:pt>
                <c:pt idx="21">
                  <c:v>Говь-Алтай</c:v>
                </c:pt>
                <c:pt idx="22">
                  <c:v>Сүхбаатар</c:v>
                </c:pt>
                <c:pt idx="23">
                  <c:v>Өмнөговь</c:v>
                </c:pt>
                <c:pt idx="24">
                  <c:v>Өндөрхаан</c:v>
                </c:pt>
              </c:strCache>
            </c:strRef>
          </c:cat>
          <c:val>
            <c:numRef>
              <c:f>Sheet2!$I$20:$I$44</c:f>
              <c:numCache>
                <c:formatCode>General</c:formatCode>
                <c:ptCount val="25"/>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pt idx="19">
                  <c:v>10</c:v>
                </c:pt>
                <c:pt idx="20">
                  <c:v>10</c:v>
                </c:pt>
                <c:pt idx="21">
                  <c:v>10</c:v>
                </c:pt>
                <c:pt idx="22">
                  <c:v>10</c:v>
                </c:pt>
                <c:pt idx="23">
                  <c:v>10</c:v>
                </c:pt>
                <c:pt idx="24">
                  <c:v>10</c:v>
                </c:pt>
              </c:numCache>
            </c:numRef>
          </c:val>
          <c:smooth val="0"/>
        </c:ser>
        <c:dLbls>
          <c:showLegendKey val="0"/>
          <c:showVal val="0"/>
          <c:showCatName val="0"/>
          <c:showSerName val="0"/>
          <c:showPercent val="0"/>
          <c:showBubbleSize val="0"/>
        </c:dLbls>
        <c:marker val="1"/>
        <c:smooth val="0"/>
        <c:axId val="-1024719968"/>
        <c:axId val="-1024726496"/>
      </c:lineChart>
      <c:catAx>
        <c:axId val="-1024719968"/>
        <c:scaling>
          <c:orientation val="minMax"/>
        </c:scaling>
        <c:delete val="0"/>
        <c:axPos val="b"/>
        <c:numFmt formatCode="General" sourceLinked="0"/>
        <c:majorTickMark val="none"/>
        <c:minorTickMark val="none"/>
        <c:tickLblPos val="nextTo"/>
        <c:txPr>
          <a:bodyPr rot="-5400000" vert="horz"/>
          <a:lstStyle/>
          <a:p>
            <a:pPr>
              <a:defRPr lang="mn-MN" sz="900"/>
            </a:pPr>
            <a:endParaRPr lang="en-US"/>
          </a:p>
        </c:txPr>
        <c:crossAx val="-1024726496"/>
        <c:crosses val="autoZero"/>
        <c:auto val="1"/>
        <c:lblAlgn val="ctr"/>
        <c:lblOffset val="100"/>
        <c:noMultiLvlLbl val="0"/>
      </c:catAx>
      <c:valAx>
        <c:axId val="-1024726496"/>
        <c:scaling>
          <c:orientation val="minMax"/>
        </c:scaling>
        <c:delete val="0"/>
        <c:axPos val="l"/>
        <c:majorGridlines/>
        <c:title>
          <c:tx>
            <c:rich>
              <a:bodyPr rot="-5400000" vert="horz"/>
              <a:lstStyle/>
              <a:p>
                <a:pPr>
                  <a:defRPr lang="mn-MN" sz="900"/>
                </a:pPr>
                <a:r>
                  <a:rPr lang="mn-MN" sz="900" b="0" i="0" baseline="0"/>
                  <a:t>микрограмм/м</a:t>
                </a:r>
                <a:r>
                  <a:rPr lang="mn-MN" sz="900" b="0" i="0" baseline="30000"/>
                  <a:t>3</a:t>
                </a:r>
                <a:endParaRPr lang="en-US" sz="900" b="0" i="0" baseline="30000"/>
              </a:p>
            </c:rich>
          </c:tx>
          <c:overlay val="0"/>
        </c:title>
        <c:numFmt formatCode="0.0" sourceLinked="1"/>
        <c:majorTickMark val="none"/>
        <c:minorTickMark val="none"/>
        <c:tickLblPos val="nextTo"/>
        <c:spPr>
          <a:ln w="9525">
            <a:noFill/>
          </a:ln>
        </c:spPr>
        <c:txPr>
          <a:bodyPr/>
          <a:lstStyle/>
          <a:p>
            <a:pPr>
              <a:defRPr lang="mn-MN"/>
            </a:pPr>
            <a:endParaRPr lang="en-US"/>
          </a:p>
        </c:txPr>
        <c:crossAx val="-1024719968"/>
        <c:crosses val="autoZero"/>
        <c:crossBetween val="between"/>
      </c:valAx>
    </c:plotArea>
    <c:legend>
      <c:legendPos val="b"/>
      <c:layout>
        <c:manualLayout>
          <c:xMode val="edge"/>
          <c:yMode val="edge"/>
          <c:x val="0.24321040620330303"/>
          <c:y val="0.92378064841538965"/>
          <c:w val="0.5135791875933946"/>
          <c:h val="7.6219351584610656E-2"/>
        </c:manualLayout>
      </c:layout>
      <c:overlay val="0"/>
      <c:txPr>
        <a:bodyPr/>
        <a:lstStyle/>
        <a:p>
          <a:pPr>
            <a:defRPr lang="mn-MN"/>
          </a:pPr>
          <a:endParaRPr lang="en-US"/>
        </a:p>
      </c:txPr>
    </c:legend>
    <c:plotVisOnly val="1"/>
    <c:dispBlanksAs val="gap"/>
    <c:showDLblsOverMax val="0"/>
  </c:chart>
  <c:spPr>
    <a:ln>
      <a:noFill/>
    </a:ln>
  </c:spPr>
  <c:txPr>
    <a:bodyPr/>
    <a:lstStyle/>
    <a:p>
      <a:pPr>
        <a:defRPr>
          <a:latin typeface="Arial" pitchFamily="34" charset="0"/>
          <a:cs typeface="Arial"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mn-MN" sz="1100" b="0"/>
            </a:pPr>
            <a:r>
              <a:rPr lang="mn-MN" sz="1100" b="0"/>
              <a:t>Азотын</a:t>
            </a:r>
            <a:r>
              <a:rPr lang="mn-MN" sz="1100" b="0" baseline="0"/>
              <a:t> давхар ислийн жилийн дундаж агууламж, мкг/м</a:t>
            </a:r>
            <a:r>
              <a:rPr lang="mn-MN" sz="1100" b="0" baseline="30000"/>
              <a:t>3</a:t>
            </a:r>
            <a:endParaRPr lang="en-US" sz="1100" b="0" baseline="30000"/>
          </a:p>
        </c:rich>
      </c:tx>
      <c:overlay val="0"/>
    </c:title>
    <c:autoTitleDeleted val="0"/>
    <c:plotArea>
      <c:layout/>
      <c:barChart>
        <c:barDir val="col"/>
        <c:grouping val="clustered"/>
        <c:varyColors val="0"/>
        <c:ser>
          <c:idx val="0"/>
          <c:order val="0"/>
          <c:tx>
            <c:strRef>
              <c:f>Sheet2!$L$19</c:f>
              <c:strCache>
                <c:ptCount val="1"/>
                <c:pt idx="0">
                  <c:v>2010</c:v>
                </c:pt>
              </c:strCache>
            </c:strRef>
          </c:tx>
          <c:invertIfNegative val="0"/>
          <c:cat>
            <c:strRef>
              <c:f>Sheet2!$K$20:$K$44</c:f>
              <c:strCache>
                <c:ptCount val="25"/>
                <c:pt idx="0">
                  <c:v>Сэлэнгэ</c:v>
                </c:pt>
                <c:pt idx="1">
                  <c:v>Мөрөн 1</c:v>
                </c:pt>
                <c:pt idx="2">
                  <c:v>Мөрөн 2</c:v>
                </c:pt>
                <c:pt idx="3">
                  <c:v>Эрдэнэт 1</c:v>
                </c:pt>
                <c:pt idx="4">
                  <c:v>Эрдэнэт 2</c:v>
                </c:pt>
                <c:pt idx="5">
                  <c:v>Дархан 1</c:v>
                </c:pt>
                <c:pt idx="6">
                  <c:v>Дорнод</c:v>
                </c:pt>
                <c:pt idx="7">
                  <c:v>Увс </c:v>
                </c:pt>
                <c:pt idx="8">
                  <c:v>Цэцэрлэг</c:v>
                </c:pt>
                <c:pt idx="9">
                  <c:v>Ховд</c:v>
                </c:pt>
                <c:pt idx="10">
                  <c:v>Арвайхээр</c:v>
                </c:pt>
                <c:pt idx="11">
                  <c:v>Мандалговь</c:v>
                </c:pt>
                <c:pt idx="12">
                  <c:v>Завхан</c:v>
                </c:pt>
                <c:pt idx="13">
                  <c:v>Багануур </c:v>
                </c:pt>
                <c:pt idx="14">
                  <c:v>Бор-Өндөр</c:v>
                </c:pt>
                <c:pt idx="15">
                  <c:v>Булган</c:v>
                </c:pt>
                <c:pt idx="16">
                  <c:v>Дорноговь</c:v>
                </c:pt>
                <c:pt idx="17">
                  <c:v>Баян-Өлгий </c:v>
                </c:pt>
                <c:pt idx="18">
                  <c:v>Төв</c:v>
                </c:pt>
                <c:pt idx="19">
                  <c:v>Шарын гол</c:v>
                </c:pt>
                <c:pt idx="20">
                  <c:v>Баянхонгор</c:v>
                </c:pt>
                <c:pt idx="21">
                  <c:v>Говь-Алтай</c:v>
                </c:pt>
                <c:pt idx="22">
                  <c:v>Сүхбаатар</c:v>
                </c:pt>
                <c:pt idx="23">
                  <c:v>Өмнөговь</c:v>
                </c:pt>
                <c:pt idx="24">
                  <c:v>Өндөрхаан</c:v>
                </c:pt>
              </c:strCache>
            </c:strRef>
          </c:cat>
          <c:val>
            <c:numRef>
              <c:f>Sheet2!$L$20:$L$44</c:f>
              <c:numCache>
                <c:formatCode>0.0</c:formatCode>
                <c:ptCount val="25"/>
                <c:pt idx="0">
                  <c:v>20.5</c:v>
                </c:pt>
                <c:pt idx="1">
                  <c:v>31.583333333333183</c:v>
                </c:pt>
                <c:pt idx="2">
                  <c:v>30.90909090909091</c:v>
                </c:pt>
                <c:pt idx="3">
                  <c:v>41.083333333333336</c:v>
                </c:pt>
                <c:pt idx="4">
                  <c:v>43.1</c:v>
                </c:pt>
                <c:pt idx="5">
                  <c:v>41</c:v>
                </c:pt>
                <c:pt idx="6">
                  <c:v>16.5</c:v>
                </c:pt>
                <c:pt idx="7">
                  <c:v>25</c:v>
                </c:pt>
                <c:pt idx="8">
                  <c:v>13.916666666666696</c:v>
                </c:pt>
                <c:pt idx="9">
                  <c:v>16</c:v>
                </c:pt>
                <c:pt idx="10">
                  <c:v>20.833333333333233</c:v>
                </c:pt>
                <c:pt idx="11">
                  <c:v>11.583333333333334</c:v>
                </c:pt>
                <c:pt idx="12">
                  <c:v>9.6666666666666767</c:v>
                </c:pt>
                <c:pt idx="13">
                  <c:v>30.72727272727273</c:v>
                </c:pt>
                <c:pt idx="14">
                  <c:v>7.833333333333349</c:v>
                </c:pt>
                <c:pt idx="15">
                  <c:v>11.25</c:v>
                </c:pt>
                <c:pt idx="16">
                  <c:v>25</c:v>
                </c:pt>
                <c:pt idx="17">
                  <c:v>18</c:v>
                </c:pt>
                <c:pt idx="18">
                  <c:v>26.333333333333233</c:v>
                </c:pt>
                <c:pt idx="19">
                  <c:v>15</c:v>
                </c:pt>
                <c:pt idx="20">
                  <c:v>35.333333333333336</c:v>
                </c:pt>
                <c:pt idx="21">
                  <c:v>14.9</c:v>
                </c:pt>
                <c:pt idx="22">
                  <c:v>16.636363636363626</c:v>
                </c:pt>
                <c:pt idx="23">
                  <c:v>32.555555555555557</c:v>
                </c:pt>
                <c:pt idx="24">
                  <c:v>14</c:v>
                </c:pt>
              </c:numCache>
            </c:numRef>
          </c:val>
        </c:ser>
        <c:ser>
          <c:idx val="1"/>
          <c:order val="1"/>
          <c:tx>
            <c:strRef>
              <c:f>Sheet2!$M$19</c:f>
              <c:strCache>
                <c:ptCount val="1"/>
                <c:pt idx="0">
                  <c:v>2011</c:v>
                </c:pt>
              </c:strCache>
            </c:strRef>
          </c:tx>
          <c:invertIfNegative val="0"/>
          <c:cat>
            <c:strRef>
              <c:f>Sheet2!$K$20:$K$44</c:f>
              <c:strCache>
                <c:ptCount val="25"/>
                <c:pt idx="0">
                  <c:v>Сэлэнгэ</c:v>
                </c:pt>
                <c:pt idx="1">
                  <c:v>Мөрөн 1</c:v>
                </c:pt>
                <c:pt idx="2">
                  <c:v>Мөрөн 2</c:v>
                </c:pt>
                <c:pt idx="3">
                  <c:v>Эрдэнэт 1</c:v>
                </c:pt>
                <c:pt idx="4">
                  <c:v>Эрдэнэт 2</c:v>
                </c:pt>
                <c:pt idx="5">
                  <c:v>Дархан 1</c:v>
                </c:pt>
                <c:pt idx="6">
                  <c:v>Дорнод</c:v>
                </c:pt>
                <c:pt idx="7">
                  <c:v>Увс </c:v>
                </c:pt>
                <c:pt idx="8">
                  <c:v>Цэцэрлэг</c:v>
                </c:pt>
                <c:pt idx="9">
                  <c:v>Ховд</c:v>
                </c:pt>
                <c:pt idx="10">
                  <c:v>Арвайхээр</c:v>
                </c:pt>
                <c:pt idx="11">
                  <c:v>Мандалговь</c:v>
                </c:pt>
                <c:pt idx="12">
                  <c:v>Завхан</c:v>
                </c:pt>
                <c:pt idx="13">
                  <c:v>Багануур </c:v>
                </c:pt>
                <c:pt idx="14">
                  <c:v>Бор-Өндөр</c:v>
                </c:pt>
                <c:pt idx="15">
                  <c:v>Булган</c:v>
                </c:pt>
                <c:pt idx="16">
                  <c:v>Дорноговь</c:v>
                </c:pt>
                <c:pt idx="17">
                  <c:v>Баян-Өлгий </c:v>
                </c:pt>
                <c:pt idx="18">
                  <c:v>Төв</c:v>
                </c:pt>
                <c:pt idx="19">
                  <c:v>Шарын гол</c:v>
                </c:pt>
                <c:pt idx="20">
                  <c:v>Баянхонгор</c:v>
                </c:pt>
                <c:pt idx="21">
                  <c:v>Говь-Алтай</c:v>
                </c:pt>
                <c:pt idx="22">
                  <c:v>Сүхбаатар</c:v>
                </c:pt>
                <c:pt idx="23">
                  <c:v>Өмнөговь</c:v>
                </c:pt>
                <c:pt idx="24">
                  <c:v>Өндөрхаан</c:v>
                </c:pt>
              </c:strCache>
            </c:strRef>
          </c:cat>
          <c:val>
            <c:numRef>
              <c:f>Sheet2!$M$20:$M$44</c:f>
              <c:numCache>
                <c:formatCode>0.0</c:formatCode>
                <c:ptCount val="25"/>
                <c:pt idx="0">
                  <c:v>25.583333333333183</c:v>
                </c:pt>
                <c:pt idx="1">
                  <c:v>34.25</c:v>
                </c:pt>
                <c:pt idx="2">
                  <c:v>36.818181818181863</c:v>
                </c:pt>
                <c:pt idx="3">
                  <c:v>40.833333333333336</c:v>
                </c:pt>
                <c:pt idx="4">
                  <c:v>41</c:v>
                </c:pt>
                <c:pt idx="5">
                  <c:v>37.333333333333336</c:v>
                </c:pt>
                <c:pt idx="6">
                  <c:v>19.75</c:v>
                </c:pt>
                <c:pt idx="7">
                  <c:v>26.090909090909086</c:v>
                </c:pt>
                <c:pt idx="8">
                  <c:v>14.833333333333334</c:v>
                </c:pt>
                <c:pt idx="9">
                  <c:v>14.666666666666696</c:v>
                </c:pt>
                <c:pt idx="10">
                  <c:v>24.25</c:v>
                </c:pt>
                <c:pt idx="11">
                  <c:v>15.222222222222221</c:v>
                </c:pt>
                <c:pt idx="12">
                  <c:v>12.333333333333334</c:v>
                </c:pt>
                <c:pt idx="13">
                  <c:v>30.90909090909091</c:v>
                </c:pt>
                <c:pt idx="14">
                  <c:v>8.5454545454545467</c:v>
                </c:pt>
                <c:pt idx="15">
                  <c:v>13.833333333333334</c:v>
                </c:pt>
                <c:pt idx="16">
                  <c:v>31.818181818181817</c:v>
                </c:pt>
                <c:pt idx="17">
                  <c:v>25.666666666666668</c:v>
                </c:pt>
                <c:pt idx="18">
                  <c:v>23.454545454545453</c:v>
                </c:pt>
                <c:pt idx="19">
                  <c:v>16.90909090909091</c:v>
                </c:pt>
                <c:pt idx="20">
                  <c:v>50.6</c:v>
                </c:pt>
                <c:pt idx="21">
                  <c:v>16.899999999999999</c:v>
                </c:pt>
                <c:pt idx="22">
                  <c:v>14.363636363636406</c:v>
                </c:pt>
                <c:pt idx="23">
                  <c:v>21.636363636363626</c:v>
                </c:pt>
                <c:pt idx="24">
                  <c:v>12.6</c:v>
                </c:pt>
              </c:numCache>
            </c:numRef>
          </c:val>
        </c:ser>
        <c:dLbls>
          <c:showLegendKey val="0"/>
          <c:showVal val="0"/>
          <c:showCatName val="0"/>
          <c:showSerName val="0"/>
          <c:showPercent val="0"/>
          <c:showBubbleSize val="0"/>
        </c:dLbls>
        <c:gapWidth val="75"/>
        <c:overlap val="-25"/>
        <c:axId val="-1024723232"/>
        <c:axId val="-1024729216"/>
      </c:barChart>
      <c:lineChart>
        <c:grouping val="standard"/>
        <c:varyColors val="0"/>
        <c:ser>
          <c:idx val="2"/>
          <c:order val="2"/>
          <c:tx>
            <c:strRef>
              <c:f>Sheet2!$N$19</c:f>
              <c:strCache>
                <c:ptCount val="1"/>
                <c:pt idx="0">
                  <c:v>Хүлцэх агууламж</c:v>
                </c:pt>
              </c:strCache>
            </c:strRef>
          </c:tx>
          <c:spPr>
            <a:ln w="19050">
              <a:solidFill>
                <a:srgbClr val="FF0000"/>
              </a:solidFill>
            </a:ln>
          </c:spPr>
          <c:marker>
            <c:symbol val="none"/>
          </c:marker>
          <c:cat>
            <c:strRef>
              <c:f>Sheet2!$K$20:$K$44</c:f>
              <c:strCache>
                <c:ptCount val="25"/>
                <c:pt idx="0">
                  <c:v>Сэлэнгэ</c:v>
                </c:pt>
                <c:pt idx="1">
                  <c:v>Мөрөн 1</c:v>
                </c:pt>
                <c:pt idx="2">
                  <c:v>Мөрөн 2</c:v>
                </c:pt>
                <c:pt idx="3">
                  <c:v>Эрдэнэт 1</c:v>
                </c:pt>
                <c:pt idx="4">
                  <c:v>Эрдэнэт 2</c:v>
                </c:pt>
                <c:pt idx="5">
                  <c:v>Дархан 1</c:v>
                </c:pt>
                <c:pt idx="6">
                  <c:v>Дорнод</c:v>
                </c:pt>
                <c:pt idx="7">
                  <c:v>Увс </c:v>
                </c:pt>
                <c:pt idx="8">
                  <c:v>Цэцэрлэг</c:v>
                </c:pt>
                <c:pt idx="9">
                  <c:v>Ховд</c:v>
                </c:pt>
                <c:pt idx="10">
                  <c:v>Арвайхээр</c:v>
                </c:pt>
                <c:pt idx="11">
                  <c:v>Мандалговь</c:v>
                </c:pt>
                <c:pt idx="12">
                  <c:v>Завхан</c:v>
                </c:pt>
                <c:pt idx="13">
                  <c:v>Багануур </c:v>
                </c:pt>
                <c:pt idx="14">
                  <c:v>Бор-Өндөр</c:v>
                </c:pt>
                <c:pt idx="15">
                  <c:v>Булган</c:v>
                </c:pt>
                <c:pt idx="16">
                  <c:v>Дорноговь</c:v>
                </c:pt>
                <c:pt idx="17">
                  <c:v>Баян-Өлгий </c:v>
                </c:pt>
                <c:pt idx="18">
                  <c:v>Төв</c:v>
                </c:pt>
                <c:pt idx="19">
                  <c:v>Шарын гол</c:v>
                </c:pt>
                <c:pt idx="20">
                  <c:v>Баянхонгор</c:v>
                </c:pt>
                <c:pt idx="21">
                  <c:v>Говь-Алтай</c:v>
                </c:pt>
                <c:pt idx="22">
                  <c:v>Сүхбаатар</c:v>
                </c:pt>
                <c:pt idx="23">
                  <c:v>Өмнөговь</c:v>
                </c:pt>
                <c:pt idx="24">
                  <c:v>Өндөрхаан</c:v>
                </c:pt>
              </c:strCache>
            </c:strRef>
          </c:cat>
          <c:val>
            <c:numRef>
              <c:f>Sheet2!$N$20:$N$44</c:f>
              <c:numCache>
                <c:formatCode>General</c:formatCode>
                <c:ptCount val="25"/>
                <c:pt idx="0">
                  <c:v>30</c:v>
                </c:pt>
                <c:pt idx="1">
                  <c:v>30</c:v>
                </c:pt>
                <c:pt idx="2">
                  <c:v>30</c:v>
                </c:pt>
                <c:pt idx="3">
                  <c:v>30</c:v>
                </c:pt>
                <c:pt idx="4">
                  <c:v>30</c:v>
                </c:pt>
                <c:pt idx="5">
                  <c:v>30</c:v>
                </c:pt>
                <c:pt idx="6">
                  <c:v>30</c:v>
                </c:pt>
                <c:pt idx="7">
                  <c:v>30</c:v>
                </c:pt>
                <c:pt idx="8">
                  <c:v>30</c:v>
                </c:pt>
                <c:pt idx="9">
                  <c:v>30</c:v>
                </c:pt>
                <c:pt idx="10">
                  <c:v>30</c:v>
                </c:pt>
                <c:pt idx="11">
                  <c:v>30</c:v>
                </c:pt>
                <c:pt idx="12">
                  <c:v>30</c:v>
                </c:pt>
                <c:pt idx="13">
                  <c:v>30</c:v>
                </c:pt>
                <c:pt idx="14">
                  <c:v>30</c:v>
                </c:pt>
                <c:pt idx="15">
                  <c:v>30</c:v>
                </c:pt>
                <c:pt idx="16">
                  <c:v>30</c:v>
                </c:pt>
                <c:pt idx="17">
                  <c:v>30</c:v>
                </c:pt>
                <c:pt idx="18">
                  <c:v>30</c:v>
                </c:pt>
                <c:pt idx="19">
                  <c:v>30</c:v>
                </c:pt>
                <c:pt idx="20">
                  <c:v>30</c:v>
                </c:pt>
                <c:pt idx="21">
                  <c:v>30</c:v>
                </c:pt>
                <c:pt idx="22">
                  <c:v>30</c:v>
                </c:pt>
                <c:pt idx="23">
                  <c:v>30</c:v>
                </c:pt>
                <c:pt idx="24">
                  <c:v>30</c:v>
                </c:pt>
              </c:numCache>
            </c:numRef>
          </c:val>
          <c:smooth val="0"/>
        </c:ser>
        <c:dLbls>
          <c:showLegendKey val="0"/>
          <c:showVal val="0"/>
          <c:showCatName val="0"/>
          <c:showSerName val="0"/>
          <c:showPercent val="0"/>
          <c:showBubbleSize val="0"/>
        </c:dLbls>
        <c:marker val="1"/>
        <c:smooth val="0"/>
        <c:axId val="-1024723232"/>
        <c:axId val="-1024729216"/>
      </c:lineChart>
      <c:catAx>
        <c:axId val="-1024723232"/>
        <c:scaling>
          <c:orientation val="minMax"/>
        </c:scaling>
        <c:delete val="0"/>
        <c:axPos val="b"/>
        <c:numFmt formatCode="General" sourceLinked="0"/>
        <c:majorTickMark val="none"/>
        <c:minorTickMark val="none"/>
        <c:tickLblPos val="nextTo"/>
        <c:txPr>
          <a:bodyPr rot="-5400000" vert="horz"/>
          <a:lstStyle/>
          <a:p>
            <a:pPr>
              <a:defRPr lang="mn-MN" sz="900"/>
            </a:pPr>
            <a:endParaRPr lang="en-US"/>
          </a:p>
        </c:txPr>
        <c:crossAx val="-1024729216"/>
        <c:crosses val="autoZero"/>
        <c:auto val="1"/>
        <c:lblAlgn val="ctr"/>
        <c:lblOffset val="100"/>
        <c:noMultiLvlLbl val="0"/>
      </c:catAx>
      <c:valAx>
        <c:axId val="-1024729216"/>
        <c:scaling>
          <c:orientation val="minMax"/>
        </c:scaling>
        <c:delete val="0"/>
        <c:axPos val="l"/>
        <c:majorGridlines/>
        <c:title>
          <c:tx>
            <c:rich>
              <a:bodyPr rot="-5400000" vert="horz"/>
              <a:lstStyle/>
              <a:p>
                <a:pPr>
                  <a:defRPr lang="mn-MN" sz="1000" b="0"/>
                </a:pPr>
                <a:r>
                  <a:rPr lang="mn-MN" sz="1000" b="0"/>
                  <a:t>микрограмм/м</a:t>
                </a:r>
                <a:r>
                  <a:rPr lang="mn-MN" sz="1000" b="0" baseline="30000"/>
                  <a:t>3</a:t>
                </a:r>
                <a:endParaRPr lang="en-US" sz="1000" b="0" baseline="30000"/>
              </a:p>
            </c:rich>
          </c:tx>
          <c:overlay val="0"/>
        </c:title>
        <c:numFmt formatCode="0.0" sourceLinked="1"/>
        <c:majorTickMark val="none"/>
        <c:minorTickMark val="none"/>
        <c:tickLblPos val="nextTo"/>
        <c:spPr>
          <a:ln w="9525">
            <a:noFill/>
          </a:ln>
        </c:spPr>
        <c:txPr>
          <a:bodyPr/>
          <a:lstStyle/>
          <a:p>
            <a:pPr>
              <a:defRPr lang="mn-MN"/>
            </a:pPr>
            <a:endParaRPr lang="en-US"/>
          </a:p>
        </c:txPr>
        <c:crossAx val="-1024723232"/>
        <c:crosses val="autoZero"/>
        <c:crossBetween val="between"/>
      </c:valAx>
    </c:plotArea>
    <c:legend>
      <c:legendPos val="b"/>
      <c:overlay val="0"/>
      <c:txPr>
        <a:bodyPr/>
        <a:lstStyle/>
        <a:p>
          <a:pPr>
            <a:defRPr lang="mn-MN"/>
          </a:pPr>
          <a:endParaRPr lang="en-US"/>
        </a:p>
      </c:txPr>
    </c:legend>
    <c:plotVisOnly val="1"/>
    <c:dispBlanksAs val="gap"/>
    <c:showDLblsOverMax val="0"/>
  </c:chart>
  <c:spPr>
    <a:ln>
      <a:noFill/>
    </a:ln>
  </c:spPr>
  <c:txPr>
    <a:bodyPr/>
    <a:lstStyle/>
    <a:p>
      <a:pPr>
        <a:defRPr>
          <a:latin typeface="Arial" pitchFamily="34" charset="0"/>
          <a:cs typeface="Arial"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1864969926535132"/>
          <c:y val="4.1548556430446186E-2"/>
          <c:w val="0.85893050024430662"/>
          <c:h val="0.69347508436865302"/>
        </c:manualLayout>
      </c:layout>
      <c:bar3DChart>
        <c:barDir val="col"/>
        <c:grouping val="clustered"/>
        <c:varyColors val="0"/>
        <c:ser>
          <c:idx val="0"/>
          <c:order val="0"/>
          <c:tx>
            <c:strRef>
              <c:f>Sheet2!$E$48</c:f>
              <c:strCache>
                <c:ptCount val="1"/>
                <c:pt idx="0">
                  <c:v>Í¿¿ðñòðºðºã÷èéí äóòóó èñýë (CO)</c:v>
                </c:pt>
              </c:strCache>
            </c:strRef>
          </c:tx>
          <c:invertIfNegative val="0"/>
          <c:cat>
            <c:strRef>
              <c:f>Sheet2!$D$49:$D$57</c:f>
              <c:strCache>
                <c:ptCount val="9"/>
                <c:pt idx="0">
                  <c:v>Сэлэнгэ </c:v>
                </c:pt>
                <c:pt idx="1">
                  <c:v>Мөрөн-01</c:v>
                </c:pt>
                <c:pt idx="2">
                  <c:v>Мөрөн-02</c:v>
                </c:pt>
                <c:pt idx="3">
                  <c:v>Эрдэнэт-1</c:v>
                </c:pt>
                <c:pt idx="4">
                  <c:v>Арвайхээр </c:v>
                </c:pt>
                <c:pt idx="5">
                  <c:v>Дархан </c:v>
                </c:pt>
                <c:pt idx="6">
                  <c:v>Увс</c:v>
                </c:pt>
                <c:pt idx="7">
                  <c:v>Цэцэрлэг</c:v>
                </c:pt>
                <c:pt idx="8">
                  <c:v>Ховд</c:v>
                </c:pt>
              </c:strCache>
            </c:strRef>
          </c:cat>
          <c:val>
            <c:numRef>
              <c:f>Sheet2!$E$49:$E$57</c:f>
              <c:numCache>
                <c:formatCode>0.00</c:formatCode>
                <c:ptCount val="9"/>
                <c:pt idx="0">
                  <c:v>0.4</c:v>
                </c:pt>
                <c:pt idx="1">
                  <c:v>3.27</c:v>
                </c:pt>
                <c:pt idx="2">
                  <c:v>4.05</c:v>
                </c:pt>
                <c:pt idx="3">
                  <c:v>0.54</c:v>
                </c:pt>
                <c:pt idx="4">
                  <c:v>0.41000000000000031</c:v>
                </c:pt>
                <c:pt idx="5">
                  <c:v>0.53</c:v>
                </c:pt>
                <c:pt idx="6">
                  <c:v>0.41000000000000031</c:v>
                </c:pt>
                <c:pt idx="7">
                  <c:v>0.36000000000000032</c:v>
                </c:pt>
                <c:pt idx="8">
                  <c:v>0.56000000000000005</c:v>
                </c:pt>
              </c:numCache>
            </c:numRef>
          </c:val>
        </c:ser>
        <c:dLbls>
          <c:showLegendKey val="0"/>
          <c:showVal val="0"/>
          <c:showCatName val="0"/>
          <c:showSerName val="0"/>
          <c:showPercent val="0"/>
          <c:showBubbleSize val="0"/>
        </c:dLbls>
        <c:gapWidth val="75"/>
        <c:shape val="cylinder"/>
        <c:axId val="-856388624"/>
        <c:axId val="-856397328"/>
        <c:axId val="0"/>
      </c:bar3DChart>
      <c:catAx>
        <c:axId val="-856388624"/>
        <c:scaling>
          <c:orientation val="minMax"/>
        </c:scaling>
        <c:delete val="0"/>
        <c:axPos val="b"/>
        <c:numFmt formatCode="General" sourceLinked="0"/>
        <c:majorTickMark val="none"/>
        <c:minorTickMark val="cross"/>
        <c:tickLblPos val="nextTo"/>
        <c:spPr>
          <a:ln>
            <a:solidFill>
              <a:srgbClr val="F79646">
                <a:lumMod val="60000"/>
                <a:lumOff val="40000"/>
              </a:srgbClr>
            </a:solidFill>
          </a:ln>
        </c:spPr>
        <c:txPr>
          <a:bodyPr/>
          <a:lstStyle/>
          <a:p>
            <a:pPr>
              <a:defRPr sz="900"/>
            </a:pPr>
            <a:endParaRPr lang="en-US"/>
          </a:p>
        </c:txPr>
        <c:crossAx val="-856397328"/>
        <c:crosses val="autoZero"/>
        <c:auto val="1"/>
        <c:lblAlgn val="ctr"/>
        <c:lblOffset val="100"/>
        <c:noMultiLvlLbl val="0"/>
      </c:catAx>
      <c:valAx>
        <c:axId val="-856397328"/>
        <c:scaling>
          <c:orientation val="minMax"/>
        </c:scaling>
        <c:delete val="0"/>
        <c:axPos val="l"/>
        <c:majorGridlines>
          <c:spPr>
            <a:ln>
              <a:solidFill>
                <a:schemeClr val="accent6">
                  <a:lumMod val="60000"/>
                  <a:lumOff val="40000"/>
                </a:schemeClr>
              </a:solidFill>
            </a:ln>
          </c:spPr>
        </c:majorGridlines>
        <c:title>
          <c:tx>
            <c:rich>
              <a:bodyPr rot="-5400000" vert="horz"/>
              <a:lstStyle/>
              <a:p>
                <a:pPr>
                  <a:defRPr/>
                </a:pPr>
                <a:r>
                  <a:rPr lang="mn-MN" b="0"/>
                  <a:t>аãóóëàìæ,</a:t>
                </a:r>
                <a:r>
                  <a:rPr lang="mn-MN" b="0" baseline="0"/>
                  <a:t> ìã/ì</a:t>
                </a:r>
                <a:r>
                  <a:rPr lang="mn-MN" b="0" baseline="30000"/>
                  <a:t>3</a:t>
                </a:r>
                <a:endParaRPr lang="en-US" b="0" baseline="30000"/>
              </a:p>
            </c:rich>
          </c:tx>
          <c:layout>
            <c:manualLayout>
              <c:xMode val="edge"/>
              <c:yMode val="edge"/>
              <c:x val="2.867377868089099E-2"/>
              <c:y val="0.22268311461067367"/>
            </c:manualLayout>
          </c:layout>
          <c:overlay val="0"/>
        </c:title>
        <c:numFmt formatCode="0.00" sourceLinked="1"/>
        <c:majorTickMark val="none"/>
        <c:minorTickMark val="none"/>
        <c:tickLblPos val="nextTo"/>
        <c:spPr>
          <a:ln w="9525">
            <a:noFill/>
          </a:ln>
        </c:spPr>
        <c:txPr>
          <a:bodyPr/>
          <a:lstStyle/>
          <a:p>
            <a:pPr>
              <a:defRPr sz="900"/>
            </a:pPr>
            <a:endParaRPr lang="en-US"/>
          </a:p>
        </c:txPr>
        <c:crossAx val="-856388624"/>
        <c:crosses val="autoZero"/>
        <c:crossBetween val="between"/>
      </c:valAx>
    </c:plotArea>
    <c:legend>
      <c:legendPos val="b"/>
      <c:layout>
        <c:manualLayout>
          <c:xMode val="edge"/>
          <c:yMode val="edge"/>
          <c:x val="0.42142856525142447"/>
          <c:y val="0.10178057742782159"/>
          <c:w val="0.52419007039110965"/>
          <c:h val="9.2208418392145428E-2"/>
        </c:manualLayout>
      </c:layout>
      <c:overlay val="0"/>
      <c:txPr>
        <a:bodyPr/>
        <a:lstStyle/>
        <a:p>
          <a:pPr>
            <a:defRPr sz="1000" b="1"/>
          </a:pPr>
          <a:endParaRPr lang="en-US"/>
        </a:p>
      </c:txPr>
    </c:legend>
    <c:plotVisOnly val="1"/>
    <c:dispBlanksAs val="gap"/>
    <c:showDLblsOverMax val="0"/>
  </c:chart>
  <c:spPr>
    <a:ln>
      <a:noFill/>
    </a:ln>
  </c:spPr>
  <c:txPr>
    <a:bodyPr/>
    <a:lstStyle/>
    <a:p>
      <a:pPr>
        <a:defRPr>
          <a:latin typeface="Arial" pitchFamily="34" charset="0"/>
          <a:cs typeface="Arial"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706331854370212"/>
          <c:y val="0.11536120715537861"/>
          <c:w val="0.86578532116856"/>
          <c:h val="0.54666625656168033"/>
        </c:manualLayout>
      </c:layout>
      <c:barChart>
        <c:barDir val="col"/>
        <c:grouping val="clustered"/>
        <c:varyColors val="0"/>
        <c:ser>
          <c:idx val="0"/>
          <c:order val="0"/>
          <c:tx>
            <c:strRef>
              <c:f>'PM110'!$D$22</c:f>
              <c:strCache>
                <c:ptCount val="1"/>
                <c:pt idx="0">
                  <c:v>Òîîñîíöîð  </c:v>
                </c:pt>
              </c:strCache>
            </c:strRef>
          </c:tx>
          <c:invertIfNegative val="0"/>
          <c:dPt>
            <c:idx val="0"/>
            <c:invertIfNegative val="0"/>
            <c:bubble3D val="0"/>
            <c:spPr>
              <a:solidFill>
                <a:schemeClr val="tx2">
                  <a:lumMod val="20000"/>
                  <a:lumOff val="80000"/>
                </a:schemeClr>
              </a:solidFill>
              <a:ln>
                <a:solidFill>
                  <a:schemeClr val="accent1"/>
                </a:solidFill>
              </a:ln>
            </c:spPr>
          </c:dPt>
          <c:dPt>
            <c:idx val="1"/>
            <c:invertIfNegative val="0"/>
            <c:bubble3D val="0"/>
            <c:spPr>
              <a:solidFill>
                <a:schemeClr val="tx2">
                  <a:lumMod val="20000"/>
                  <a:lumOff val="80000"/>
                </a:schemeClr>
              </a:solidFill>
              <a:ln>
                <a:solidFill>
                  <a:schemeClr val="tx2"/>
                </a:solidFill>
              </a:ln>
            </c:spPr>
          </c:dPt>
          <c:dPt>
            <c:idx val="2"/>
            <c:invertIfNegative val="0"/>
            <c:bubble3D val="0"/>
            <c:spPr>
              <a:solidFill>
                <a:schemeClr val="tx2">
                  <a:lumMod val="20000"/>
                  <a:lumOff val="80000"/>
                </a:schemeClr>
              </a:solidFill>
              <a:ln>
                <a:solidFill>
                  <a:schemeClr val="accent1"/>
                </a:solidFill>
              </a:ln>
            </c:spPr>
          </c:dPt>
          <c:dLbls>
            <c:dLbl>
              <c:idx val="0"/>
              <c:tx>
                <c:rich>
                  <a:bodyPr/>
                  <a:lstStyle/>
                  <a:p>
                    <a:r>
                      <a:rPr lang="en-US" sz="800"/>
                      <a:t>PM 2.5</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sz="800"/>
                      <a:t>PM2.5</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sz="800"/>
                      <a:t>PM2.5</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sz="800"/>
                      <a:t>PM10</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sz="800"/>
                      <a:t>PM10</a:t>
                    </a:r>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sz="800"/>
                      <a:t>PM10</a:t>
                    </a:r>
                  </a:p>
                </c:rich>
              </c:tx>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sz="800"/>
                      <a:t>PM10</a:t>
                    </a:r>
                  </a:p>
                </c:rich>
              </c:tx>
              <c:showLegendKey val="0"/>
              <c:showVal val="1"/>
              <c:showCatName val="0"/>
              <c:showSerName val="0"/>
              <c:showPercent val="0"/>
              <c:showBubbleSize val="0"/>
              <c:extLst>
                <c:ext xmlns:c15="http://schemas.microsoft.com/office/drawing/2012/chart" uri="{CE6537A1-D6FC-4f65-9D91-7224C49458BB}"/>
              </c:extLst>
            </c:dLbl>
            <c:dLbl>
              <c:idx val="7"/>
              <c:tx>
                <c:rich>
                  <a:bodyPr/>
                  <a:lstStyle/>
                  <a:p>
                    <a:r>
                      <a:rPr lang="en-US" sz="800"/>
                      <a:t>PM10</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'PM110'!$E$21:$L$21</c:f>
              <c:strCache>
                <c:ptCount val="8"/>
                <c:pt idx="0">
                  <c:v>Ýðäýíýò </c:v>
                </c:pt>
                <c:pt idx="1">
                  <c:v>Àðâàéõýýð </c:v>
                </c:pt>
                <c:pt idx="2">
                  <c:v>Öýöýðëýã </c:v>
                </c:pt>
                <c:pt idx="3">
                  <c:v>Ìºðºí </c:v>
                </c:pt>
                <c:pt idx="4">
                  <c:v>Õîâä </c:v>
                </c:pt>
                <c:pt idx="5">
                  <c:v>Çàâõàí </c:v>
                </c:pt>
                <c:pt idx="6">
                  <c:v>Áàÿíõîíãîð </c:v>
                </c:pt>
                <c:pt idx="7">
                  <c:v>ªëãèé </c:v>
                </c:pt>
              </c:strCache>
            </c:strRef>
          </c:cat>
          <c:val>
            <c:numRef>
              <c:f>'PM110'!$E$22:$L$22</c:f>
              <c:numCache>
                <c:formatCode>General</c:formatCode>
                <c:ptCount val="8"/>
                <c:pt idx="0">
                  <c:v>5.1000000000000004E-2</c:v>
                </c:pt>
                <c:pt idx="1">
                  <c:v>6.0000000000000032E-2</c:v>
                </c:pt>
                <c:pt idx="2">
                  <c:v>9.5000000000000043E-2</c:v>
                </c:pt>
                <c:pt idx="3">
                  <c:v>7.5999999999999998E-2</c:v>
                </c:pt>
                <c:pt idx="4">
                  <c:v>0.13300000000000001</c:v>
                </c:pt>
                <c:pt idx="5">
                  <c:v>1.7999999999999999E-2</c:v>
                </c:pt>
                <c:pt idx="6">
                  <c:v>0.128</c:v>
                </c:pt>
                <c:pt idx="7">
                  <c:v>0.17200000000000001</c:v>
                </c:pt>
              </c:numCache>
            </c:numRef>
          </c:val>
        </c:ser>
        <c:dLbls>
          <c:showLegendKey val="0"/>
          <c:showVal val="0"/>
          <c:showCatName val="0"/>
          <c:showSerName val="0"/>
          <c:showPercent val="0"/>
          <c:showBubbleSize val="0"/>
        </c:dLbls>
        <c:gapWidth val="237"/>
        <c:overlap val="37"/>
        <c:axId val="-856396784"/>
        <c:axId val="-936533904"/>
      </c:barChart>
      <c:lineChart>
        <c:grouping val="stacked"/>
        <c:varyColors val="0"/>
        <c:ser>
          <c:idx val="1"/>
          <c:order val="1"/>
          <c:tx>
            <c:strRef>
              <c:f>'PM110'!$D$23</c:f>
              <c:strCache>
                <c:ptCount val="1"/>
                <c:pt idx="0">
                  <c:v>Хүлцэх хэм хэмжээ</c:v>
                </c:pt>
              </c:strCache>
            </c:strRef>
          </c:tx>
          <c:spPr>
            <a:ln w="19050">
              <a:solidFill>
                <a:srgbClr val="FF0000"/>
              </a:solidFill>
            </a:ln>
          </c:spPr>
          <c:marker>
            <c:symbol val="none"/>
          </c:marker>
          <c:cat>
            <c:strRef>
              <c:f>'PM110'!$E$21:$L$21</c:f>
              <c:strCache>
                <c:ptCount val="8"/>
                <c:pt idx="0">
                  <c:v>Ýðäýíýò </c:v>
                </c:pt>
                <c:pt idx="1">
                  <c:v>Àðâàéõýýð </c:v>
                </c:pt>
                <c:pt idx="2">
                  <c:v>Öýöýðëýã </c:v>
                </c:pt>
                <c:pt idx="3">
                  <c:v>Ìºðºí </c:v>
                </c:pt>
                <c:pt idx="4">
                  <c:v>Õîâä </c:v>
                </c:pt>
                <c:pt idx="5">
                  <c:v>Çàâõàí </c:v>
                </c:pt>
                <c:pt idx="6">
                  <c:v>Áàÿíõîíãîð </c:v>
                </c:pt>
                <c:pt idx="7">
                  <c:v>ªëãèé </c:v>
                </c:pt>
              </c:strCache>
            </c:strRef>
          </c:cat>
          <c:val>
            <c:numRef>
              <c:f>'PM110'!$E$23:$L$23</c:f>
              <c:numCache>
                <c:formatCode>General</c:formatCode>
                <c:ptCount val="8"/>
                <c:pt idx="0">
                  <c:v>2.5000000000000001E-2</c:v>
                </c:pt>
                <c:pt idx="1">
                  <c:v>2.5000000000000001E-2</c:v>
                </c:pt>
                <c:pt idx="2">
                  <c:v>2.5000000000000001E-2</c:v>
                </c:pt>
                <c:pt idx="3">
                  <c:v>0.05</c:v>
                </c:pt>
                <c:pt idx="4">
                  <c:v>0.05</c:v>
                </c:pt>
                <c:pt idx="5">
                  <c:v>0.05</c:v>
                </c:pt>
                <c:pt idx="6">
                  <c:v>0.05</c:v>
                </c:pt>
                <c:pt idx="7">
                  <c:v>0.05</c:v>
                </c:pt>
              </c:numCache>
            </c:numRef>
          </c:val>
          <c:smooth val="0"/>
        </c:ser>
        <c:dLbls>
          <c:showLegendKey val="0"/>
          <c:showVal val="0"/>
          <c:showCatName val="0"/>
          <c:showSerName val="0"/>
          <c:showPercent val="0"/>
          <c:showBubbleSize val="0"/>
        </c:dLbls>
        <c:marker val="1"/>
        <c:smooth val="0"/>
        <c:axId val="-856396784"/>
        <c:axId val="-936533904"/>
      </c:lineChart>
      <c:catAx>
        <c:axId val="-856396784"/>
        <c:scaling>
          <c:orientation val="minMax"/>
        </c:scaling>
        <c:delete val="0"/>
        <c:axPos val="b"/>
        <c:numFmt formatCode="General" sourceLinked="0"/>
        <c:majorTickMark val="none"/>
        <c:minorTickMark val="none"/>
        <c:tickLblPos val="nextTo"/>
        <c:txPr>
          <a:bodyPr rot="-5400000" vert="horz"/>
          <a:lstStyle/>
          <a:p>
            <a:pPr>
              <a:defRPr sz="900"/>
            </a:pPr>
            <a:endParaRPr lang="en-US"/>
          </a:p>
        </c:txPr>
        <c:crossAx val="-936533904"/>
        <c:crosses val="autoZero"/>
        <c:auto val="1"/>
        <c:lblAlgn val="ctr"/>
        <c:lblOffset val="100"/>
        <c:noMultiLvlLbl val="0"/>
      </c:catAx>
      <c:valAx>
        <c:axId val="-936533904"/>
        <c:scaling>
          <c:orientation val="minMax"/>
          <c:max val="0.2"/>
        </c:scaling>
        <c:delete val="0"/>
        <c:axPos val="l"/>
        <c:majorGridlines/>
        <c:title>
          <c:tx>
            <c:rich>
              <a:bodyPr/>
              <a:lstStyle/>
              <a:p>
                <a:pPr>
                  <a:defRPr b="0"/>
                </a:pPr>
                <a:r>
                  <a:rPr lang="mn-MN" b="0"/>
                  <a:t>Àãóóëàìæ, ìêã/ì</a:t>
                </a:r>
                <a:r>
                  <a:rPr lang="mn-MN" b="0" baseline="30000"/>
                  <a:t>3</a:t>
                </a:r>
                <a:endParaRPr lang="en-US" b="0" baseline="30000"/>
              </a:p>
            </c:rich>
          </c:tx>
          <c:layout>
            <c:manualLayout>
              <c:xMode val="edge"/>
              <c:yMode val="edge"/>
              <c:x val="1.725620245476427E-2"/>
              <c:y val="0.27789829552605888"/>
            </c:manualLayout>
          </c:layout>
          <c:overlay val="0"/>
        </c:title>
        <c:numFmt formatCode="General" sourceLinked="1"/>
        <c:majorTickMark val="out"/>
        <c:minorTickMark val="none"/>
        <c:tickLblPos val="nextTo"/>
        <c:txPr>
          <a:bodyPr/>
          <a:lstStyle/>
          <a:p>
            <a:pPr>
              <a:defRPr sz="900"/>
            </a:pPr>
            <a:endParaRPr lang="en-US"/>
          </a:p>
        </c:txPr>
        <c:crossAx val="-856396784"/>
        <c:crosses val="autoZero"/>
        <c:crossBetween val="between"/>
        <c:majorUnit val="4.0000000000000022E-2"/>
      </c:valAx>
    </c:plotArea>
    <c:legend>
      <c:legendPos val="r"/>
      <c:layout>
        <c:manualLayout>
          <c:xMode val="edge"/>
          <c:yMode val="edge"/>
          <c:x val="0.15131681710517891"/>
          <c:y val="2.1414610996503682E-2"/>
          <c:w val="0.69659580052493464"/>
          <c:h val="8.8730679498396747E-2"/>
        </c:manualLayout>
      </c:layout>
      <c:overlay val="0"/>
      <c:txPr>
        <a:bodyPr/>
        <a:lstStyle/>
        <a:p>
          <a:pPr>
            <a:defRPr sz="1100" b="1"/>
          </a:pPr>
          <a:endParaRPr lang="en-US"/>
        </a:p>
      </c:txPr>
    </c:legend>
    <c:plotVisOnly val="1"/>
    <c:dispBlanksAs val="zero"/>
    <c:showDLblsOverMax val="0"/>
  </c:chart>
  <c:spPr>
    <a:ln>
      <a:noFill/>
    </a:ln>
  </c:spPr>
  <c:txPr>
    <a:bodyPr/>
    <a:lstStyle/>
    <a:p>
      <a:pPr>
        <a:defRPr>
          <a:latin typeface="Arial" pitchFamily="34" charset="0"/>
          <a:cs typeface="Arial"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latin typeface="Arial" pitchFamily="34" charset="0"/>
                <a:cs typeface="Arial" pitchFamily="34" charset="0"/>
              </a:defRPr>
            </a:pPr>
            <a:r>
              <a:rPr lang="mn-MN" sz="1050" b="0" i="0" baseline="0">
                <a:latin typeface="Arial" pitchFamily="34" charset="0"/>
                <a:cs typeface="Arial" pitchFamily="34" charset="0"/>
              </a:rPr>
              <a:t>Хүхэрлэг хийн жилийн дундаж агууламж, мкг/м</a:t>
            </a:r>
            <a:r>
              <a:rPr lang="mn-MN" sz="1050" b="0" i="0" baseline="30000">
                <a:latin typeface="Arial" pitchFamily="34" charset="0"/>
                <a:cs typeface="Arial" pitchFamily="34" charset="0"/>
              </a:rPr>
              <a:t>3</a:t>
            </a:r>
            <a:endParaRPr lang="en-US" sz="1050" b="0" i="0" baseline="30000">
              <a:latin typeface="Arial" pitchFamily="34" charset="0"/>
              <a:cs typeface="Arial" pitchFamily="34" charset="0"/>
            </a:endParaRPr>
          </a:p>
        </c:rich>
      </c:tx>
      <c:layout>
        <c:manualLayout>
          <c:xMode val="edge"/>
          <c:yMode val="edge"/>
          <c:x val="0.22077526741318138"/>
          <c:y val="4.2764478560782915E-2"/>
        </c:manualLayout>
      </c:layout>
      <c:overlay val="0"/>
    </c:title>
    <c:autoTitleDeleted val="0"/>
    <c:plotArea>
      <c:layout>
        <c:manualLayout>
          <c:layoutTarget val="inner"/>
          <c:xMode val="edge"/>
          <c:yMode val="edge"/>
          <c:x val="9.8023626443679568E-2"/>
          <c:y val="0.16164127725240376"/>
          <c:w val="0.87096813903287251"/>
          <c:h val="0.56146825306981574"/>
        </c:manualLayout>
      </c:layout>
      <c:barChart>
        <c:barDir val="col"/>
        <c:grouping val="clustered"/>
        <c:varyColors val="0"/>
        <c:ser>
          <c:idx val="0"/>
          <c:order val="0"/>
          <c:tx>
            <c:strRef>
              <c:f>Sheet2!$U$49</c:f>
              <c:strCache>
                <c:ptCount val="1"/>
                <c:pt idx="0">
                  <c:v>Баянхонгор</c:v>
                </c:pt>
              </c:strCache>
            </c:strRef>
          </c:tx>
          <c:invertIfNegative val="0"/>
          <c:cat>
            <c:numRef>
              <c:f>Sheet2!$W$48:$Z$48</c:f>
              <c:numCache>
                <c:formatCode>General</c:formatCode>
                <c:ptCount val="4"/>
                <c:pt idx="0">
                  <c:v>2008</c:v>
                </c:pt>
                <c:pt idx="1">
                  <c:v>2009</c:v>
                </c:pt>
                <c:pt idx="2">
                  <c:v>2010</c:v>
                </c:pt>
                <c:pt idx="3">
                  <c:v>2011</c:v>
                </c:pt>
              </c:numCache>
            </c:numRef>
          </c:cat>
          <c:val>
            <c:numRef>
              <c:f>Sheet2!$W$49:$Z$49</c:f>
              <c:numCache>
                <c:formatCode>General</c:formatCode>
                <c:ptCount val="4"/>
                <c:pt idx="0">
                  <c:v>8</c:v>
                </c:pt>
                <c:pt idx="1">
                  <c:v>17</c:v>
                </c:pt>
                <c:pt idx="2" formatCode="0.0">
                  <c:v>25</c:v>
                </c:pt>
                <c:pt idx="3" formatCode="0.0">
                  <c:v>33.1</c:v>
                </c:pt>
              </c:numCache>
            </c:numRef>
          </c:val>
        </c:ser>
        <c:dLbls>
          <c:showLegendKey val="0"/>
          <c:showVal val="0"/>
          <c:showCatName val="0"/>
          <c:showSerName val="0"/>
          <c:showPercent val="0"/>
          <c:showBubbleSize val="0"/>
        </c:dLbls>
        <c:gapWidth val="150"/>
        <c:axId val="-930038992"/>
        <c:axId val="-930042256"/>
      </c:barChart>
      <c:lineChart>
        <c:grouping val="stacked"/>
        <c:varyColors val="0"/>
        <c:ser>
          <c:idx val="1"/>
          <c:order val="1"/>
          <c:tx>
            <c:strRef>
              <c:f>Sheet2!$U$50</c:f>
              <c:strCache>
                <c:ptCount val="1"/>
                <c:pt idx="0">
                  <c:v>Хүлцэх агууламж</c:v>
                </c:pt>
              </c:strCache>
            </c:strRef>
          </c:tx>
          <c:marker>
            <c:symbol val="none"/>
          </c:marker>
          <c:cat>
            <c:numRef>
              <c:f>Sheet2!$W$48:$Z$48</c:f>
              <c:numCache>
                <c:formatCode>General</c:formatCode>
                <c:ptCount val="4"/>
                <c:pt idx="0">
                  <c:v>2008</c:v>
                </c:pt>
                <c:pt idx="1">
                  <c:v>2009</c:v>
                </c:pt>
                <c:pt idx="2">
                  <c:v>2010</c:v>
                </c:pt>
                <c:pt idx="3">
                  <c:v>2011</c:v>
                </c:pt>
              </c:numCache>
            </c:numRef>
          </c:cat>
          <c:val>
            <c:numRef>
              <c:f>Sheet2!$W$50:$Z$50</c:f>
              <c:numCache>
                <c:formatCode>General</c:formatCode>
                <c:ptCount val="4"/>
                <c:pt idx="0">
                  <c:v>10</c:v>
                </c:pt>
                <c:pt idx="1">
                  <c:v>10</c:v>
                </c:pt>
                <c:pt idx="2" formatCode="0.0">
                  <c:v>10</c:v>
                </c:pt>
                <c:pt idx="3" formatCode="0.0">
                  <c:v>10</c:v>
                </c:pt>
              </c:numCache>
            </c:numRef>
          </c:val>
          <c:smooth val="0"/>
        </c:ser>
        <c:dLbls>
          <c:showLegendKey val="0"/>
          <c:showVal val="0"/>
          <c:showCatName val="0"/>
          <c:showSerName val="0"/>
          <c:showPercent val="0"/>
          <c:showBubbleSize val="0"/>
        </c:dLbls>
        <c:marker val="1"/>
        <c:smooth val="0"/>
        <c:axId val="-930038992"/>
        <c:axId val="-930042256"/>
      </c:lineChart>
      <c:catAx>
        <c:axId val="-930038992"/>
        <c:scaling>
          <c:orientation val="minMax"/>
        </c:scaling>
        <c:delete val="0"/>
        <c:axPos val="b"/>
        <c:numFmt formatCode="General" sourceLinked="1"/>
        <c:majorTickMark val="none"/>
        <c:minorTickMark val="none"/>
        <c:tickLblPos val="nextTo"/>
        <c:crossAx val="-930042256"/>
        <c:crosses val="autoZero"/>
        <c:auto val="1"/>
        <c:lblAlgn val="ctr"/>
        <c:lblOffset val="100"/>
        <c:noMultiLvlLbl val="0"/>
      </c:catAx>
      <c:valAx>
        <c:axId val="-930042256"/>
        <c:scaling>
          <c:orientation val="minMax"/>
        </c:scaling>
        <c:delete val="0"/>
        <c:axPos val="l"/>
        <c:majorGridlines/>
        <c:title>
          <c:tx>
            <c:rich>
              <a:bodyPr/>
              <a:lstStyle/>
              <a:p>
                <a:pPr>
                  <a:defRPr sz="1000">
                    <a:latin typeface="Arial" pitchFamily="34" charset="0"/>
                    <a:cs typeface="Arial" pitchFamily="34" charset="0"/>
                  </a:defRPr>
                </a:pPr>
                <a:r>
                  <a:rPr lang="mn-MN" sz="1000" b="0" i="0" baseline="0">
                    <a:latin typeface="Arial" pitchFamily="34" charset="0"/>
                    <a:cs typeface="Arial" pitchFamily="34" charset="0"/>
                  </a:rPr>
                  <a:t>мêã/м</a:t>
                </a:r>
                <a:r>
                  <a:rPr lang="mn-MN" sz="1000" b="0" i="0" baseline="30000">
                    <a:latin typeface="Arial" pitchFamily="34" charset="0"/>
                    <a:cs typeface="Arial" pitchFamily="34" charset="0"/>
                  </a:rPr>
                  <a:t>3</a:t>
                </a:r>
                <a:endParaRPr lang="en-US" sz="1000" b="0" i="0" baseline="30000">
                  <a:latin typeface="Arial" pitchFamily="34" charset="0"/>
                  <a:cs typeface="Arial" pitchFamily="34" charset="0"/>
                </a:endParaRPr>
              </a:p>
            </c:rich>
          </c:tx>
          <c:overlay val="0"/>
        </c:title>
        <c:numFmt formatCode="General" sourceLinked="1"/>
        <c:majorTickMark val="out"/>
        <c:minorTickMark val="none"/>
        <c:tickLblPos val="nextTo"/>
        <c:crossAx val="-930038992"/>
        <c:crosses val="autoZero"/>
        <c:crossBetween val="between"/>
      </c:valAx>
      <c:spPr>
        <a:noFill/>
        <a:ln w="25400">
          <a:noFill/>
        </a:ln>
      </c:spPr>
    </c:plotArea>
    <c:legend>
      <c:legendPos val="r"/>
      <c:layout>
        <c:manualLayout>
          <c:xMode val="edge"/>
          <c:yMode val="edge"/>
          <c:x val="0.2283580632822908"/>
          <c:y val="0.90947915430169224"/>
          <c:w val="0.57104177602799766"/>
          <c:h val="8.4247297181824096E-2"/>
        </c:manualLayout>
      </c:layout>
      <c:overlay val="0"/>
      <c:txPr>
        <a:bodyPr/>
        <a:lstStyle/>
        <a:p>
          <a:pPr>
            <a:defRPr sz="1100">
              <a:latin typeface="Arial" pitchFamily="34" charset="0"/>
              <a:cs typeface="Arial" pitchFamily="34" charset="0"/>
            </a:defRPr>
          </a:pPr>
          <a:endParaRPr lang="en-US"/>
        </a:p>
      </c:txPr>
    </c:legend>
    <c:plotVisOnly val="1"/>
    <c:dispBlanksAs val="zero"/>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Arial" pitchFamily="34" charset="0"/>
                <a:cs typeface="Arial" pitchFamily="34" charset="0"/>
              </a:defRPr>
            </a:pPr>
            <a:r>
              <a:rPr lang="mn-MN" sz="1000" b="0" i="0" baseline="0">
                <a:latin typeface="Arial" pitchFamily="34" charset="0"/>
                <a:cs typeface="Arial" pitchFamily="34" charset="0"/>
              </a:rPr>
              <a:t>Хүхэрлэг хийн жилийн дундаж агууламж, мкг/м</a:t>
            </a:r>
            <a:r>
              <a:rPr lang="mn-MN" sz="1000" b="0" i="0" baseline="30000">
                <a:latin typeface="Arial" pitchFamily="34" charset="0"/>
                <a:cs typeface="Arial" pitchFamily="34" charset="0"/>
              </a:rPr>
              <a:t>3</a:t>
            </a:r>
            <a:endParaRPr lang="en-US" sz="1000" b="0" i="0" baseline="30000">
              <a:latin typeface="Arial" pitchFamily="34" charset="0"/>
              <a:cs typeface="Arial" pitchFamily="34" charset="0"/>
            </a:endParaRPr>
          </a:p>
        </c:rich>
      </c:tx>
      <c:layout>
        <c:manualLayout>
          <c:xMode val="edge"/>
          <c:yMode val="edge"/>
          <c:x val="0.25320042248604929"/>
          <c:y val="4.271308191739198E-3"/>
        </c:manualLayout>
      </c:layout>
      <c:overlay val="0"/>
    </c:title>
    <c:autoTitleDeleted val="0"/>
    <c:plotArea>
      <c:layout>
        <c:manualLayout>
          <c:layoutTarget val="inner"/>
          <c:xMode val="edge"/>
          <c:yMode val="edge"/>
          <c:x val="9.5031981105988692E-2"/>
          <c:y val="0.11794944053046"/>
          <c:w val="0.90496801889401135"/>
          <c:h val="0.58465644426025665"/>
        </c:manualLayout>
      </c:layout>
      <c:barChart>
        <c:barDir val="col"/>
        <c:grouping val="clustered"/>
        <c:varyColors val="0"/>
        <c:ser>
          <c:idx val="0"/>
          <c:order val="0"/>
          <c:tx>
            <c:strRef>
              <c:f>Sheet2!$U$52</c:f>
              <c:strCache>
                <c:ptCount val="1"/>
                <c:pt idx="0">
                  <c:v>Дархан </c:v>
                </c:pt>
              </c:strCache>
            </c:strRef>
          </c:tx>
          <c:spPr>
            <a:solidFill>
              <a:srgbClr val="FFFF00">
                <a:alpha val="49000"/>
              </a:srgbClr>
            </a:solidFill>
            <a:ln>
              <a:solidFill>
                <a:schemeClr val="tx1"/>
              </a:solidFill>
            </a:ln>
          </c:spPr>
          <c:invertIfNegative val="0"/>
          <c:cat>
            <c:numRef>
              <c:f>Sheet2!$V$48:$Z$48</c:f>
              <c:numCache>
                <c:formatCode>General</c:formatCode>
                <c:ptCount val="5"/>
                <c:pt idx="0">
                  <c:v>2007</c:v>
                </c:pt>
                <c:pt idx="1">
                  <c:v>2008</c:v>
                </c:pt>
                <c:pt idx="2">
                  <c:v>2009</c:v>
                </c:pt>
                <c:pt idx="3">
                  <c:v>2010</c:v>
                </c:pt>
                <c:pt idx="4">
                  <c:v>2011</c:v>
                </c:pt>
              </c:numCache>
            </c:numRef>
          </c:cat>
          <c:val>
            <c:numRef>
              <c:f>Sheet2!$V$52:$Z$52</c:f>
              <c:numCache>
                <c:formatCode>General</c:formatCode>
                <c:ptCount val="5"/>
                <c:pt idx="0">
                  <c:v>12</c:v>
                </c:pt>
                <c:pt idx="1">
                  <c:v>9</c:v>
                </c:pt>
                <c:pt idx="2">
                  <c:v>13</c:v>
                </c:pt>
                <c:pt idx="3" formatCode="0.0">
                  <c:v>17.75</c:v>
                </c:pt>
                <c:pt idx="4" formatCode="0.0">
                  <c:v>18.416666666666668</c:v>
                </c:pt>
              </c:numCache>
            </c:numRef>
          </c:val>
        </c:ser>
        <c:dLbls>
          <c:showLegendKey val="0"/>
          <c:showVal val="0"/>
          <c:showCatName val="0"/>
          <c:showSerName val="0"/>
          <c:showPercent val="0"/>
          <c:showBubbleSize val="0"/>
        </c:dLbls>
        <c:gapWidth val="150"/>
        <c:axId val="-930041168"/>
        <c:axId val="-930045520"/>
      </c:barChart>
      <c:lineChart>
        <c:grouping val="stacked"/>
        <c:varyColors val="0"/>
        <c:ser>
          <c:idx val="1"/>
          <c:order val="1"/>
          <c:tx>
            <c:strRef>
              <c:f>Sheet2!$U$53</c:f>
              <c:strCache>
                <c:ptCount val="1"/>
                <c:pt idx="0">
                  <c:v>Хүлцэх агууламж</c:v>
                </c:pt>
              </c:strCache>
            </c:strRef>
          </c:tx>
          <c:marker>
            <c:symbol val="none"/>
          </c:marker>
          <c:cat>
            <c:numRef>
              <c:f>Sheet2!$V$48:$Z$48</c:f>
              <c:numCache>
                <c:formatCode>General</c:formatCode>
                <c:ptCount val="5"/>
                <c:pt idx="0">
                  <c:v>2007</c:v>
                </c:pt>
                <c:pt idx="1">
                  <c:v>2008</c:v>
                </c:pt>
                <c:pt idx="2">
                  <c:v>2009</c:v>
                </c:pt>
                <c:pt idx="3">
                  <c:v>2010</c:v>
                </c:pt>
                <c:pt idx="4">
                  <c:v>2011</c:v>
                </c:pt>
              </c:numCache>
            </c:numRef>
          </c:cat>
          <c:val>
            <c:numRef>
              <c:f>Sheet2!$V$53:$Z$53</c:f>
              <c:numCache>
                <c:formatCode>General</c:formatCode>
                <c:ptCount val="5"/>
                <c:pt idx="0">
                  <c:v>10</c:v>
                </c:pt>
                <c:pt idx="1">
                  <c:v>10</c:v>
                </c:pt>
                <c:pt idx="2">
                  <c:v>10</c:v>
                </c:pt>
                <c:pt idx="3" formatCode="0.0">
                  <c:v>10</c:v>
                </c:pt>
                <c:pt idx="4" formatCode="0.0">
                  <c:v>10</c:v>
                </c:pt>
              </c:numCache>
            </c:numRef>
          </c:val>
          <c:smooth val="0"/>
        </c:ser>
        <c:dLbls>
          <c:showLegendKey val="0"/>
          <c:showVal val="0"/>
          <c:showCatName val="0"/>
          <c:showSerName val="0"/>
          <c:showPercent val="0"/>
          <c:showBubbleSize val="0"/>
        </c:dLbls>
        <c:marker val="1"/>
        <c:smooth val="0"/>
        <c:axId val="-930041168"/>
        <c:axId val="-930045520"/>
      </c:lineChart>
      <c:catAx>
        <c:axId val="-930041168"/>
        <c:scaling>
          <c:orientation val="minMax"/>
        </c:scaling>
        <c:delete val="0"/>
        <c:axPos val="b"/>
        <c:numFmt formatCode="General" sourceLinked="1"/>
        <c:majorTickMark val="none"/>
        <c:minorTickMark val="none"/>
        <c:tickLblPos val="nextTo"/>
        <c:crossAx val="-930045520"/>
        <c:crosses val="autoZero"/>
        <c:auto val="1"/>
        <c:lblAlgn val="ctr"/>
        <c:lblOffset val="100"/>
        <c:noMultiLvlLbl val="0"/>
      </c:catAx>
      <c:valAx>
        <c:axId val="-930045520"/>
        <c:scaling>
          <c:orientation val="minMax"/>
        </c:scaling>
        <c:delete val="0"/>
        <c:axPos val="l"/>
        <c:majorGridlines/>
        <c:title>
          <c:tx>
            <c:rich>
              <a:bodyPr/>
              <a:lstStyle/>
              <a:p>
                <a:pPr>
                  <a:defRPr>
                    <a:latin typeface="Arial" pitchFamily="34" charset="0"/>
                    <a:cs typeface="Arial" pitchFamily="34" charset="0"/>
                  </a:defRPr>
                </a:pPr>
                <a:r>
                  <a:rPr lang="mn-MN" sz="1000" b="0" i="0" u="none" strike="noStrike" baseline="0">
                    <a:latin typeface="Arial" pitchFamily="34" charset="0"/>
                    <a:cs typeface="Arial" pitchFamily="34" charset="0"/>
                  </a:rPr>
                  <a:t>мêã/м</a:t>
                </a:r>
                <a:r>
                  <a:rPr lang="mn-MN" sz="1000" b="0" i="0" u="none" strike="noStrike" baseline="30000">
                    <a:latin typeface="Arial" pitchFamily="34" charset="0"/>
                    <a:cs typeface="Arial" pitchFamily="34" charset="0"/>
                  </a:rPr>
                  <a:t>3</a:t>
                </a:r>
                <a:endParaRPr lang="en-US">
                  <a:latin typeface="Arial" pitchFamily="34" charset="0"/>
                  <a:cs typeface="Arial" pitchFamily="34" charset="0"/>
                </a:endParaRPr>
              </a:p>
            </c:rich>
          </c:tx>
          <c:layout>
            <c:manualLayout>
              <c:xMode val="edge"/>
              <c:yMode val="edge"/>
              <c:x val="4.8801671811748975E-3"/>
              <c:y val="0.40769111755767384"/>
            </c:manualLayout>
          </c:layout>
          <c:overlay val="0"/>
        </c:title>
        <c:numFmt formatCode="General" sourceLinked="1"/>
        <c:majorTickMark val="out"/>
        <c:minorTickMark val="none"/>
        <c:tickLblPos val="nextTo"/>
        <c:crossAx val="-930041168"/>
        <c:crosses val="autoZero"/>
        <c:crossBetween val="between"/>
      </c:valAx>
    </c:plotArea>
    <c:legend>
      <c:legendPos val="r"/>
      <c:layout>
        <c:manualLayout>
          <c:xMode val="edge"/>
          <c:yMode val="edge"/>
          <c:x val="0.26755914578035256"/>
          <c:y val="0.89144135930377155"/>
          <c:w val="0.49877646544182092"/>
          <c:h val="0.10743569874505121"/>
        </c:manualLayout>
      </c:layout>
      <c:overlay val="0"/>
      <c:txPr>
        <a:bodyPr/>
        <a:lstStyle/>
        <a:p>
          <a:pPr>
            <a:defRPr>
              <a:latin typeface="Arial" pitchFamily="34" charset="0"/>
              <a:cs typeface="Arial" pitchFamily="34" charset="0"/>
            </a:defRPr>
          </a:pPr>
          <a:endParaRPr lang="en-US"/>
        </a:p>
      </c:txPr>
    </c:legend>
    <c:plotVisOnly val="1"/>
    <c:dispBlanksAs val="zero"/>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Arial" pitchFamily="34" charset="0"/>
                <a:cs typeface="Arial" pitchFamily="34" charset="0"/>
              </a:defRPr>
            </a:pPr>
            <a:r>
              <a:rPr lang="mn-MN" sz="1000" b="0" i="0" baseline="0">
                <a:latin typeface="Arial" pitchFamily="34" charset="0"/>
                <a:cs typeface="Arial" pitchFamily="34" charset="0"/>
              </a:rPr>
              <a:t>Хүхэрлэг хийн жилийн дундаж агууламж, мкг/м</a:t>
            </a:r>
            <a:r>
              <a:rPr lang="mn-MN" sz="1000" b="0" i="0" baseline="30000">
                <a:latin typeface="Arial" pitchFamily="34" charset="0"/>
                <a:cs typeface="Arial" pitchFamily="34" charset="0"/>
              </a:rPr>
              <a:t>3</a:t>
            </a:r>
            <a:endParaRPr lang="en-US" sz="1000" b="0" i="0" baseline="30000">
              <a:latin typeface="Arial" pitchFamily="34" charset="0"/>
              <a:cs typeface="Arial" pitchFamily="34" charset="0"/>
            </a:endParaRPr>
          </a:p>
        </c:rich>
      </c:tx>
      <c:layout>
        <c:manualLayout>
          <c:xMode val="edge"/>
          <c:yMode val="edge"/>
          <c:x val="0.26719395826816966"/>
          <c:y val="4.5247622735682625E-3"/>
        </c:manualLayout>
      </c:layout>
      <c:overlay val="0"/>
    </c:title>
    <c:autoTitleDeleted val="0"/>
    <c:plotArea>
      <c:layout>
        <c:manualLayout>
          <c:layoutTarget val="inner"/>
          <c:xMode val="edge"/>
          <c:yMode val="edge"/>
          <c:x val="9.7334802061659606E-2"/>
          <c:y val="0.16731351204050313"/>
          <c:w val="0.90198885761041625"/>
          <c:h val="0.53268333261620981"/>
        </c:manualLayout>
      </c:layout>
      <c:barChart>
        <c:barDir val="col"/>
        <c:grouping val="clustered"/>
        <c:varyColors val="0"/>
        <c:ser>
          <c:idx val="2"/>
          <c:order val="1"/>
          <c:tx>
            <c:strRef>
              <c:f>Sheet2!$U$51</c:f>
              <c:strCache>
                <c:ptCount val="1"/>
                <c:pt idx="0">
                  <c:v>Арвайхээр</c:v>
                </c:pt>
              </c:strCache>
            </c:strRef>
          </c:tx>
          <c:invertIfNegative val="0"/>
          <c:cat>
            <c:numRef>
              <c:f>Sheet2!$V$48:$Z$48</c:f>
              <c:numCache>
                <c:formatCode>General</c:formatCode>
                <c:ptCount val="5"/>
                <c:pt idx="0">
                  <c:v>2007</c:v>
                </c:pt>
                <c:pt idx="1">
                  <c:v>2008</c:v>
                </c:pt>
                <c:pt idx="2">
                  <c:v>2009</c:v>
                </c:pt>
                <c:pt idx="3">
                  <c:v>2010</c:v>
                </c:pt>
                <c:pt idx="4">
                  <c:v>2011</c:v>
                </c:pt>
              </c:numCache>
            </c:numRef>
          </c:cat>
          <c:val>
            <c:numRef>
              <c:f>Sheet2!$V$51:$Z$51</c:f>
              <c:numCache>
                <c:formatCode>General</c:formatCode>
                <c:ptCount val="5"/>
                <c:pt idx="0">
                  <c:v>4</c:v>
                </c:pt>
                <c:pt idx="1">
                  <c:v>6</c:v>
                </c:pt>
                <c:pt idx="2">
                  <c:v>10</c:v>
                </c:pt>
                <c:pt idx="3" formatCode="0.0">
                  <c:v>10.25</c:v>
                </c:pt>
                <c:pt idx="4" formatCode="0.0">
                  <c:v>17.333333333333261</c:v>
                </c:pt>
              </c:numCache>
            </c:numRef>
          </c:val>
        </c:ser>
        <c:dLbls>
          <c:showLegendKey val="0"/>
          <c:showVal val="0"/>
          <c:showCatName val="0"/>
          <c:showSerName val="0"/>
          <c:showPercent val="0"/>
          <c:showBubbleSize val="0"/>
        </c:dLbls>
        <c:gapWidth val="150"/>
        <c:axId val="-930043888"/>
        <c:axId val="-930043344"/>
      </c:barChart>
      <c:lineChart>
        <c:grouping val="stacked"/>
        <c:varyColors val="0"/>
        <c:ser>
          <c:idx val="1"/>
          <c:order val="0"/>
          <c:tx>
            <c:strRef>
              <c:f>Sheet2!$U$50</c:f>
              <c:strCache>
                <c:ptCount val="1"/>
                <c:pt idx="0">
                  <c:v>Хүлцэх агууламж</c:v>
                </c:pt>
              </c:strCache>
            </c:strRef>
          </c:tx>
          <c:marker>
            <c:symbol val="none"/>
          </c:marker>
          <c:cat>
            <c:numRef>
              <c:f>Sheet2!$V$48:$Z$48</c:f>
              <c:numCache>
                <c:formatCode>General</c:formatCode>
                <c:ptCount val="5"/>
                <c:pt idx="0">
                  <c:v>2007</c:v>
                </c:pt>
                <c:pt idx="1">
                  <c:v>2008</c:v>
                </c:pt>
                <c:pt idx="2">
                  <c:v>2009</c:v>
                </c:pt>
                <c:pt idx="3">
                  <c:v>2010</c:v>
                </c:pt>
                <c:pt idx="4">
                  <c:v>2011</c:v>
                </c:pt>
              </c:numCache>
            </c:numRef>
          </c:cat>
          <c:val>
            <c:numRef>
              <c:f>Sheet2!$V$50:$Z$50</c:f>
              <c:numCache>
                <c:formatCode>General</c:formatCode>
                <c:ptCount val="5"/>
                <c:pt idx="0">
                  <c:v>10</c:v>
                </c:pt>
                <c:pt idx="1">
                  <c:v>10</c:v>
                </c:pt>
                <c:pt idx="2">
                  <c:v>10</c:v>
                </c:pt>
                <c:pt idx="3" formatCode="0.0">
                  <c:v>10</c:v>
                </c:pt>
                <c:pt idx="4" formatCode="0.0">
                  <c:v>10</c:v>
                </c:pt>
              </c:numCache>
            </c:numRef>
          </c:val>
          <c:smooth val="0"/>
        </c:ser>
        <c:dLbls>
          <c:showLegendKey val="0"/>
          <c:showVal val="0"/>
          <c:showCatName val="0"/>
          <c:showSerName val="0"/>
          <c:showPercent val="0"/>
          <c:showBubbleSize val="0"/>
        </c:dLbls>
        <c:marker val="1"/>
        <c:smooth val="0"/>
        <c:axId val="-930043888"/>
        <c:axId val="-930043344"/>
      </c:lineChart>
      <c:catAx>
        <c:axId val="-930043888"/>
        <c:scaling>
          <c:orientation val="minMax"/>
        </c:scaling>
        <c:delete val="0"/>
        <c:axPos val="b"/>
        <c:numFmt formatCode="General" sourceLinked="1"/>
        <c:majorTickMark val="none"/>
        <c:minorTickMark val="none"/>
        <c:tickLblPos val="nextTo"/>
        <c:crossAx val="-930043344"/>
        <c:crosses val="autoZero"/>
        <c:auto val="1"/>
        <c:lblAlgn val="ctr"/>
        <c:lblOffset val="100"/>
        <c:noMultiLvlLbl val="0"/>
      </c:catAx>
      <c:valAx>
        <c:axId val="-930043344"/>
        <c:scaling>
          <c:orientation val="minMax"/>
          <c:max val="20"/>
        </c:scaling>
        <c:delete val="0"/>
        <c:axPos val="l"/>
        <c:majorGridlines/>
        <c:title>
          <c:tx>
            <c:rich>
              <a:bodyPr/>
              <a:lstStyle/>
              <a:p>
                <a:pPr>
                  <a:defRPr sz="1000">
                    <a:latin typeface="Arial" pitchFamily="34" charset="0"/>
                    <a:cs typeface="Arial" pitchFamily="34" charset="0"/>
                  </a:defRPr>
                </a:pPr>
                <a:r>
                  <a:rPr lang="mn-MN" sz="1000" b="0" i="0" baseline="0">
                    <a:latin typeface="Arial" pitchFamily="34" charset="0"/>
                    <a:cs typeface="Arial" pitchFamily="34" charset="0"/>
                  </a:rPr>
                  <a:t>мêã/м</a:t>
                </a:r>
                <a:r>
                  <a:rPr lang="mn-MN" sz="1000" b="0" i="0" baseline="30000">
                    <a:latin typeface="Arial" pitchFamily="34" charset="0"/>
                    <a:cs typeface="Arial" pitchFamily="34" charset="0"/>
                  </a:rPr>
                  <a:t>3</a:t>
                </a:r>
                <a:endParaRPr lang="en-US" sz="1000" b="0" i="0" baseline="30000">
                  <a:latin typeface="Arial" pitchFamily="34" charset="0"/>
                  <a:cs typeface="Arial" pitchFamily="34" charset="0"/>
                </a:endParaRPr>
              </a:p>
            </c:rich>
          </c:tx>
          <c:layout>
            <c:manualLayout>
              <c:xMode val="edge"/>
              <c:yMode val="edge"/>
              <c:x val="9.4858090925163119E-3"/>
              <c:y val="0.39644478586518239"/>
            </c:manualLayout>
          </c:layout>
          <c:overlay val="0"/>
        </c:title>
        <c:numFmt formatCode="General" sourceLinked="1"/>
        <c:majorTickMark val="none"/>
        <c:minorTickMark val="none"/>
        <c:tickLblPos val="nextTo"/>
        <c:crossAx val="-930043888"/>
        <c:crosses val="autoZero"/>
        <c:crossBetween val="between"/>
        <c:majorUnit val="5"/>
      </c:valAx>
    </c:plotArea>
    <c:legend>
      <c:legendPos val="r"/>
      <c:layout>
        <c:manualLayout>
          <c:xMode val="edge"/>
          <c:yMode val="edge"/>
          <c:x val="0.23520469267766422"/>
          <c:y val="0.88222264899814351"/>
          <c:w val="0.54881955380577463"/>
          <c:h val="0.11207337905769639"/>
        </c:manualLayout>
      </c:layout>
      <c:overlay val="0"/>
      <c:txPr>
        <a:bodyPr/>
        <a:lstStyle/>
        <a:p>
          <a:pPr>
            <a:defRPr>
              <a:latin typeface="Arial" pitchFamily="34" charset="0"/>
              <a:cs typeface="Arial" pitchFamily="34" charset="0"/>
            </a:defRPr>
          </a:pPr>
          <a:endParaRPr lang="en-US"/>
        </a:p>
      </c:txPr>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MethoD</cp:lastModifiedBy>
  <cp:revision>8</cp:revision>
  <dcterms:created xsi:type="dcterms:W3CDTF">2012-02-28T18:31:00Z</dcterms:created>
  <dcterms:modified xsi:type="dcterms:W3CDTF">2014-07-27T17:15:00Z</dcterms:modified>
</cp:coreProperties>
</file>